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highlight w:val="yellow"/>
        </w:rPr>
        <w:t xml:space="preserve">{covered_employee_period}</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genuinely competitively sensitive Confidential Information, its relationships with Covered Customers, and its stable working relationships with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the restrictive covenants protect Employer's Protected Interests and are reasonable in duration, territory, and scope. Employer would not provide Employee with access to its Protected Interests absent the protections in this agreement. Each restrictive covenant is separate and independently enforceable.</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to protect Employer's relationships with the specific customers, referral sources, and business partners Employee served or learned protected information about, and not Employer's customer base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restriction applies only to Covered Customers during the Restricted Period.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Protected Interest of Employer and to a reasonable time, territory, and scope. Where Employer's competitors are identified in Cover Terms under Specified Competitors, this covenant is narrowed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applies only to covenants Employee gives in Employee's capacity as an employee. It does not govern a covenant given separately in connection with a sale of a business or equity transaction.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to enforce an enforceable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survives termination of Employee's employment for its Restricted Period and expires on its own schedule.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must be in writing, signed by both parties, and supported by any consideration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