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Arizona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Arizona Uniform Trade Secrets Act, A.R.S. § 44-401(4).</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Broadcast-Employer Screening</w:t>
      </w:r>
    </w:p>
    <w:p>
      <w:pPr>
        <w:pStyle w:val="OABody"/>
        <w:spacing w:before="0" w:after="120" w:line="340" w:lineRule="auto"/>
        <w:ind w:left="720"/>
      </w:pPr>
      <w:r>
        <w:t xml:space="preserve">Employer represents that it does not provide broadcasting services over a television or radio station or network within the meaning of A.R.S. § 23-494. If Employer does provide such broadcasting services, no non-competition covenant in this agreement applies to or is enforceable against Employee, and any such covenant is deemed omitted from this agreement rather than enforced or reformed.</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reasonable and necessary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included to protect Employer's Protected Interests in workforce stability and goodwill and is drawn no broader than reasonably necessary to protect them.</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to protect Employer's goodwill in its customer, vendor, referral-source, and business-partner relationships and is drawn no broader than reasonably necessary to protect 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Protected Interests and is drawn no broader than reasonably necessary to protect them.</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Broadcast-Employer Screening section. It is included to protect Employer's Protected Interests and not to restrain ordinary competition, with its duration, territory, and activity scope confined to Employee's actual role and Employer's actual market. If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is included to protect Employer's Protected Interests and is drawn no broader than reasonably necessary to protect them.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in this agreement restraining Employee from practicing Employee's profession is confined to the Restricted Territory and the Restricted Period stated in Cover Terms and is drawn to preserve patient access and continuity of care.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and each duration, territory, and activity restriction within it, is a distinct, grammatically severable unit that may be severed individually without disturbing the others, so that a single unenforceable term does not void the entire restraint.</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The parties intend each covenant in this agreement to be enforceable as written. This agreement does not rely on any savings or reformation clause to cure an overbroad covenant and does not purport to obligate a court to add provisions to or rewrite any covenant. Each restrictive covenant is drawn as a distinct, grammatically severable restraint with duration, geography, and prohibited activity sized to the Protected Interests; if a covenant is found unenforceable, it is severed under the Enforceability and Severability section rather than rewritten.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