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including its Confidential Information, its Trade Secrets, and its goodwill in its customer, vendor, referral-source, and business-partner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Arizona Uniform Trade Secrets Act, A.R.S. § 44-401(4).</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Confidential Information and Trade Secrets and will develop customer relationships and goodwill on Employer's behalf, and each covenant is included to protect those Protected Interests and not to restrain ordinary competition. Employer would not provide Employee with access to the Protected Interests absent the protections in this agreement. Employer and Employee agree that each covenant is no greater than necessary to protect Employer's Protected Interests and is reasonable in time, territory, and scope of restricted activity, and the parties intend each covenant to be enforceable as written.</w:t>
      </w:r>
    </w:p>
    <w:p>
      <w:pPr>
        <w:pStyle w:val="OABody"/>
        <w:keepNext/>
        <w:numPr>
          <w:ilvl w:val="0"/>
          <w:numId w:val="1"/>
        </w:numPr>
        <w:spacing w:before="320" w:after="120" w:line="340" w:lineRule="auto"/>
        <w:jc w:val="left"/>
      </w:pPr>
      <w:r>
        <w:rPr>
          <w:b/>
          <w:bCs/>
        </w:rPr>
        <w:t xml:space="preserve">Broadcast-Employer Screening</w:t>
      </w:r>
    </w:p>
    <w:p>
      <w:pPr>
        <w:pStyle w:val="OABody"/>
        <w:spacing w:before="0" w:after="120" w:line="340" w:lineRule="auto"/>
        <w:ind w:left="720"/>
      </w:pPr>
      <w:r>
        <w:t xml:space="preserve">Employer represents that it does not provide broadcasting services over a television or radio station or network within the meaning of A.R.S. § 23-494. If Employer does provide such broadcasting services, no non-competition covenant in this agreement applies to or is enforceable against Employee, and any such covenant is deemed omitted from this agreement rather than enforced or reformed.</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This agreement is effective as of the Effective Date listed in Cover Terms. The parties acknowledge that this agreement is supported by adequate consideration: if this agreement is signed at the outset of employment, the offer and commencement of employment; if Employee is an existing at-will employee, Employer's continuation of the at-will employment relationship in exchange for Employee's assent to the covenants in this agreement. Employee acknowledges having had the opportunity to consult with independent legal counsel before signing this agreement, and that the restrictions in this agreement are reasonable and necessary to protect Employer's Protected Interests.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for as long as the information remains a Trade Secret. Employee's obligations regarding other Confidential Information continue for the period specified in Cover Terms under Other Confidential Information Duration. This confidentiality obligation operates alongside, and independent of, the other covenants in this agreement,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is included to protect Employer's Protected Interests in workforce stability and goodwill and is drawn no broader than reasonably necessary to protect them.</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is included to protect Employer's goodwill in its customer, vendor, referral-source, and business-partner relationships and is drawn no broader than reasonably necessary to protect it.</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is included to protect Employer's Protected Interests and is drawn no broader than reasonably necessary to protect them.</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subject to the Broadcast-Employer Screening section. It is included to protect Employer's Protected Interests and not to restrain ordinary competition, with its duration, territory, and activity scope confined to Employee's actual role and Employer's actual market. If Cover Terms list Specified Competitors, this covenant is limited to those named competitors and their affiliates.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covenant is included to protect Employer's Protected Interests and is drawn no broader than reasonably necessary to protect them.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or other licensed health care practitioner, each covenant in this agreement restraining Employee from practicing Employee's profession is confined to the Restricted Territory and the Restricted Period stated in Cover Terms and is drawn to preserve patient access and continuity of care.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No extension under this section is open-ended or indefinite.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Any fee-shifting between the parties under this agreement is mutual and prevailing-party based.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and each duration, territory, and activity restriction within it, is a distinct, grammatically severable unit that may be severed individually without disturbing the others, so that a single unenforceable term does not void the entire restraint.</w:t>
      </w:r>
    </w:p>
    <w:p>
      <w:pPr>
        <w:pStyle w:val="OABody"/>
        <w:keepNext/>
        <w:numPr>
          <w:ilvl w:val="0"/>
          <w:numId w:val="1"/>
        </w:numPr>
        <w:spacing w:before="320" w:after="120" w:line="340" w:lineRule="auto"/>
        <w:jc w:val="left"/>
      </w:pPr>
      <w:r>
        <w:rPr>
          <w:b/>
          <w:bCs/>
        </w:rPr>
        <w:t xml:space="preserve">No Reliance on Judicial Reformation</w:t>
      </w:r>
    </w:p>
    <w:p>
      <w:pPr>
        <w:pStyle w:val="OABody"/>
        <w:spacing w:before="0" w:after="120" w:line="340" w:lineRule="auto"/>
        <w:ind w:left="720"/>
      </w:pPr>
      <w:r>
        <w:t xml:space="preserve">The parties intend each covenant in this agreement to be enforceable as written. This agreement does not rely on any savings or reformation clause to cure an overbroad covenant and does not purport to obligate a court to add provisions to or rewrite any covenant. Each restrictive covenant is drawn as a distinct, grammatically severable restraint with duration, geography, and prohibited activity sized to the Protected Interests; if a covenant is found unenforceable, it is severed under the Enforceability and Severability section rather than rewritten.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for that covenant. Obligations under the Confidential Information and Trade Secret Protection section survive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All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(Arizona)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(Arizona)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(Arizona)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