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Iowa covenant may protect under the three-prong reasonableness test, namely Employer's Confidential Information, Employer's trade secrets as defined by the Iowa Uniform Trade Secrets Act (Iowa Code § 550.2), and Employer's goodwill in its customer, vendor, referral-source, and business-partner relationships — including Employee's close proximity to customers and access to information peculiar to Employer's business — but not Employer's interest in avoiding ordinary competition and not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Iowa Uniform Trade Secrets Act, Iowa Code § 550.2.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Iowa has no general non-compete statute; enforceability is governed by the common-law three-prong reasonableness test restated in Revere Transducers, Inc. v. Deere &amp; Co., 595 N.W.2d 751 (Iowa 1999), and Lamp v. American Prosthetics, Inc., 379 N.W.2d 909 (Iowa 1986), under which a post-employment restraint is enforceable only if it is reasonably necessary for the protection of the employer's business, is not unreasonably restrictive of the employee's rights, and is not prejudicial to the public interest. The burden of proving reasonableness rests on the employer who seeks enforcement (Iowa Glass Depot, Inc. v. Jindrich, 338 N.W.2d 376 (Iowa 1983)). The parties acknowledge that each covenant is meant to guard Employer's Confidential Information, trade secrets, and customer goodwill — measured against the factors Iowa weighs, including Employee's close proximity to customers, the nature of the business, access to information peculiar to Employer's business, and the nature of the restrained occupation — and not to eliminate ordinary competition or to preclude Employee from using the general skill and knowledge Employee acquired on the job.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in exchange for Employee's assent to the covenants in this agreement, Employer continues Employee's employment, and continued employment for an indefinite period is sufficient consideration to support a covenant not to compete under Iowa law, even when the covenant is signed after employment begins (Farm Bureau Serv. Co. of Maynard v. Kohls, 203 N.W.2d 209 (Iowa 1972));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at formation, not that they are reasonable — each covenant must independently satisfy the three-prong reasonableness test on time, territory, and scope, and continued employment sufficient as consideration does not by itself make an unreasonable covenant enforceable (Iowa Glass Depot, Inc. v. Jindrich, 338 N.W.2d 376 (Iowa 1983)).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Iowa law, including the Iowa Uniform Trade Secrets Act, Iowa Code §§ 550.2–550.6, which defines a trade secret by its independent economic value from not being generally known and by efforts that are reasonable under the circumstances to maintain its secrecy (Iowa Code § 550.2). This confidentiality obligation is intended to operate alongside, and independent of, any restrictive covenant, and does not restrict Employee's use of the general knowledge, skill, and experience Employee acquired through experience or instruction during employment, which Iowa law places outside the reach of a restrictive covenant.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Iowa Code § 550.2, and to position Employer to petition for an injunction against actual or threatened misappropriation under Iowa Code § 550.3.</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Iowa statute separately regulates employee non-solicits; as the lightest restraint in this agreement, this covenant is analyzed under the same three-prong reasonableness test as every other restraint and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Iowa courts analyze this customer non-solicitation covenant under the three-prong reasonableness test (Revere Transducers, Inc. v. Deere &amp; Co., 595 N.W.2d 751 (Iowa 1999); Lamp v. American Prosthetics, Inc., 379 N.W.2d 909 (Iowa 1986)); it reaches only Covered Customers with whom Employee had material contact and is no broader than necessary to protect Employer's goodwill in its customer relationships. This covenant maps directly onto Employer's customer-goodwill interest — customer proximity is among the first factors Iowa courts weigh — and, together with the confidentiality and trade-secret protections in this agreement, is often a stronger and more readily enforceable protection than a broad non-compete. Where Employee is a licensed mental health professional, Iowa Code § 147.161 voids any provision that would prohibit Employee from contacting for professional services a person Employee previously treated, and this covenant does not restrict that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second and third prongs of the reasonableness test — restricting more activity than protection requires and depriving the customer of its chosen provider — it is sized tightly to the goodwill it protects and reaches only Covered Customers with whom Employee had material contact. Iowa courts ask whether the restricted activities exceed what protection requires, and have trimmed no-business restraints to the activities and territory the worker actually served (Farm Bureau Serv. Co. of Maynard v. Kohls, 203 N.W.2d 209 (Iowa 1972)).</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or to preclude Employee from using the general skill and knowledge acquired on the job. Consistent with Iowa's three-prong reasonableness test, and recognizing that Employer bears the burden of proving reasonableness, the parties intend this covenant to be reasonably necessary for the protection of Employer, not unreasonably restrictive of Employee, and not prejudicial to the public interest,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reasonably necessary and leaves Employee free to work elsewhere in the industry. Where Employee is an independent contractor, the same three-prong test applies; the covenant is intended not to force Employee to forsake customers Employee brought to the relationship, which Iowa law treats as unreasonable (AG Spectrum Co. v. Elder, 865 F.3d 1088 (8th Cir. 2017)).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Iowa's three-prong reasonableness test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Iowa has no statewide physician or health-care non-compete ban, but several narrow occupation and sector rules can void or condition a covenant, and this agreement is drafted to yield to whichever applies. First, if Employee is a licensed mental health professional, this agreement does not limit the location at which Employee may practice, does not prohibit Employee from contacting for professional services a person Employee previously treated, and does not impose a time restriction on Employee's practice; any provision to the contrary is void and unenforceable under Iowa Code § 147.161, whether the agreement was entered into prior to, on, or after June 1, 2023. Second, if Employer is a health-care employment agency and Employee is an agency worker, this agreement does not include any noncompete clause restricting Employee's employment opportunities and does not require liquidated damages, employment fees, or other compensation if Employee is later hired as a permanent employee of a health care entity (Iowa Code § 135Q.2). Third, if this agreement is an employment contract between the University of Iowa Hospitals and Clinics and an advanced registered nurse practitioner, licensed practical nurse, pharmacist, physician, physician assistant, or registered nurse, it does not include a noncompete clause, consistent with the policy the Board of Regents is directed to adopt for such contracts entered into, extended, or renewed on or after the effective date of the Act (2026 Iowa Acts, House File 2254, codified at Iowa Code § 262.9(43)). Any covenant that would conflict with one of these rules is deemed excluded to the extent of the conflict.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an Iowa court would narrow under the three-prong reasonableness test — or that an occupation statute voids outright — may expose Employer to a claim, and that it should condition any such notice on a restraint it is prepared to defend on all three prongs.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The parties acknowledge that no controlling Iowa appellate authority decides whether a non-compete period tolls during breach or enforcement litigation, and that Iowa's closest doctrine is reformation, which narrows an overbroad covenant rather than adding time back; Iowa's leading application set a fixed period measured from the date employment terminated (Farm Bureau Serv. Co. of Maynard v. Kohls, 203 N.W.2d 209 (Iowa 1972)). Accordingly, any extension under this section is itself part of the restraint's duration and must independently satisfy the three-prong reasonableness test; the parties do not intend an open-ended or indefinite extension and do not assume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Iowa Uniform Trade Secrets Act, Iowa Code § 550.3, under which the owner of a trade secret may petition the district court to enjoin an actual or threatened misappropriation independent of any covenant, and damages under Iowa Code § 550.4 for actual loss and unjust enrichment caused by misappropriation. Iowa Code § 550.6 permits an award of actual and reasonable attorney fees to the prevailing party where a misappropriation claim is made in bad faith, a motion to terminate an injunction is made or resisted in bad faith, or a person acts willfully and maliciously in the misappropriation. Common-law tort theories involving trade secrets remain available alongside chapter 550 (205 Corp. v. Brandow, 517 N.W.2d 548 (Iowa 1994)).</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Iowa has abandoned the all-or-nothing rule and enforces an overbroad covenant to the extent it is reasonably necessary to protect the employer's legitimate interests without imposing undue hardship on the employee, where the public interest is not adversely affected (Ehlers v. Iowa Warehouse Co., 188 N.W.2d 368 (Iowa 1971)); Iowa courts have applied that rule by narrowing a covenant's activities, territory, and duration to what the worker actually handled (Farm Bureau Serv. Co. of Maynard v. Kohls, 203 N.W.2d 209 (Iowa 1972)). Employer therefore requests partial enforcement if any restraint in this agreement is found to be overbroad. That partial-enforcement rule has a built-in limit the parties respect: it does not apply where the facts indicate bad faith, and no covenant placed in this agreement for reasons other than an attempt to protect Employer's legitimate interests should be enforced in equity (Ehlers, 188 N.W.2d 368).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Because an Iowa court enforcing a covenant partially will reshape each restraint to its own reasonable scope, each covenant's survival is stated independently so that a defensible restraint is not bundled with a broader one.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 successor inherits the Iowa reasonableness analysis along with the covenant: reasonable necessity is re-weighed against the enforcing business's actual customer relationships and footprint, so a restraint sized to Employer does not automatically fit a buyer.</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Iowa law governs, the enforceability of each restrictive covenant is determined under the common-law three-prong reasonableness test of Revere Transducers, Inc. v. Deere &amp; Co. and Lamp v. American Prosthetics, Inc. and their progeny, with the employer bearing the burden of proving reasonableness; there is no general Iowa non-compete statute and no statutory safe harbor, so each covenant is drafted to survive the reasonableness analysis rather than to escape it.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note that an extension or renewal can change which Iowa rule governs: the University of Iowa Hospitals and Clinics clinical-role prohibition reaches listed contracts entered into, extended, or renewed on or after the effective date of the Act (2026 Iowa Acts, House File 2254), so any refresh of this agreement should be reviewed against the occupation- and sector-specific rules disclosed above.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