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Kansas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that Employee solicited, produced, or serviced, directly or indirectly, or about whom Employee had confidential business or proprietary information or trade secrets, in the course of Employee's relationship with the customer during the </w:t>
      </w:r>
      <w:r>
        <w:rPr>
          <w:b w:val="0"/>
          <w:bCs w:val="0"/>
        </w:rPr>
        <w:t xml:space="preserve">12 months</w:t>
      </w:r>
      <w:r>
        <w:t xml:space="preserve"> before termination of employment, tracking the material contact customer concept of the Kansas Restraint of Trade Act (K.S.A. 50-163(g)(2)).</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Kansas covenant may protect under the four-factor Weber v. Tillman reasonableness test, namely Employer's Confidential Information, Employer's trade secrets as defined by the Kansas Uniform Trade Secrets Act (K.S.A. 60-3320(4)), Employer's goodwill in its customer, vendor, and business-partner relationships, and, for a professional practice, Employer's referral sources,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solicit, recruit, induce, persuade, encourage, direct, or otherwise interfere with, directly or indirectly, a person or entity, tracking the statutory verb list of the Kansas Restraint of Trade Act (K.S.A. 50-163(c)(5)),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Kansas Uniform Trade Secrets Act, K.S.A. 60-3320(4).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Under Kansas law, a non-competition covenant ancillary to an employment contract is valid and enforceable if the restraint is reasonable under the circumstances and not adverse to the public welfare (Weber v. Tillman, 259 Kan. 457, 913 P.2d 84 (1996)). Reasonableness is judged on four factors: whether the covenant protects a legitimate business interest of Employer, whether it creates an undue burden on Employee, whether it is injurious to the public welfare, and whether its time and territorial limitations are reasonable. The parties acknowledge that each covenant is meant to guard Employer's Confidential Information, trade secrets, customer goodwill, and referral sources and not to eliminate ordinary competition, that Employer carries the burden of showing each restraint is reasonable, and that Employer would not provide Employee with access to these Protected Interests absent the protections in this agreement. Each covenant is intended to be reasonable in time, territory, and scope, to impose no undue hardship on Employee, and to cause no injury to the public welfare.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parties agree that Employer's continued employment of Employee is itself sufficient consideration for the covenants in this agreement, and that continued employment should not as a matter of law be disregarded as consideration sufficient to uphold a covenant not to compete under Puritan-Bennett Corp. v. Richter, 8 Kan. App. 2d 311, 657 P.2d 589 (1983);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 each covenant must independently satisfy the four-factor Weber reasonableness test on legitimate interest, undue burden, public welfare, and reasonable time and territory.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Kansas law, including the Kansas Uniform Trade Secrets Act, K.S.A. 60-3320 through 60-3330, which defines a trade secret by its independent economic value, actual or potential, from not being generally known to and not being readily ascertainable by proper means by others who can obtain economic value from its disclosure or use, and by efforts that are reasonable under the circumstances to maintain its secrecy (K.S.A. 60-3320(4)). Because the Kansas Uniform Trade Secrets Act does not affect contractual remedies, whether or not based upon misappropriation of a trade secret (K.S.A. 60-3326(b)(1)), this confidentiality obligation is the operative protection for customer lists, pricing, and know-how that falls short of statutory trade-secret status.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the Kansas Uniform Trade Secrets Act (K.S.A. 60-3320(4)).</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The Kansas Restraint of Trade Act safe harbors run to customer solicitation and owner covenants and do not create a conclusive presumption for an employer-employee coworker no-recruit covenant, so this covenant is drawn to stand on ordinary reasonableness under K.S.A. 50-163(c)(1): as the lightest restraint in this agreement it reaches only Covered Employees during the Restricted Period,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including any reduction, termination, acceptance, or transfer of any Covered Customer's business, in whole or in part, for the purpose of providing any product or service that is competitive with those provided by Employer. This covenant is drawn to the K.S.A. 50-163(c)(5) safe harbor: it is limited to Covered Customers, which track the statutory material contact customer definition, and — where its Restricted Period in Cover Terms does not exceed two years following the end of Employee's employment — it is intended to be conclusively presumed enforceable and not a restraint of trade. Even inside the safe harbor, K.S.A. 50-163(c)(7) preserves any defense available to Employee at law or in equity. This covenant maps directly onto Employer's customer-goodwill interest and, together with the confidentiality and trade-secret protections in this agreement, is often a stronger and more readily enforceable protection than a broad non-compete.</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The K.S.A. 50-163(c)(5) safe harbor reaches acceptance and transfer of a customer's business and not merely outreach, so — where limited to Covered Customers and capped in Cover Terms at no more than two years following the end of Employee's employment — this covenant is intended to ride the same conclusive presumption as the customer non-solicitation covenant, and it is sized tightly to the goodwill it protects.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customer goodwill, and referral sources — and not to restrain ordinary competition. Consistent with the four-factor Weber v. Tillman reasonableness test, the parties intend this covenant to protect a legitimate business interest of Employer, to impose no undue burden on Employee, to cause no injury to the public welfare, and to keep its time and territory reasonable and sized to Employee's actual role and Employer's actual market. The Kansas Restraint of Trade Act excludes covenants not to compete (K.S.A. 50-163(e)(6)), so this covenant does not rely on that Act's conclusive presumptions or its mandatory reformation command; it stands or falls on the common-law reasonableness test.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is no greater than required.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analyzed under the four-factor Weber reasonableness test and is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from the practice of the profession is evaluated under Kansas's ordinary four-factor Weber reasonableness test and not under any healthcare-specific ban, because Kansas has no statute banning physician or health care non-competes. Kansas courts apply ordinary covenant law to medical practices and recognize that referral sources are a legitimate interest which can be protected by a restrictive covenant even in the context of a medical practice (Idbeis v. Wichita Surgical Specialists, P.A., 279 Kan. 755, 112 P.3d 81 (2005)). Accordingly, any physician covenant in this agreement is intended to use a reasonable radius and a reasonable term, to preserve patient access and continuity of care as part of the public-welfare factor, and to be enforced only to the extent it survives the four-factor reasonableness analysis. This agreement does not assume any pending legislation; a 2025–2026 proposal to ban most physician non-competes died without becoming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that a Kansas court later narrows or declines to enforce under the Weber reasonableness test may expose Employer to a claim, and that it should condition any such notice on a restraint it is prepared to defend on all four factors — which in Kansas may be a narrowed version of the covenant as written.</w:t>
      </w:r>
    </w:p>
    <w:p>
      <w:pPr>
        <w:pStyle w:val="OABody"/>
        <w:keepNext/>
        <w:numPr>
          <w:ilvl w:val="0"/>
          <w:numId w:val="1"/>
        </w:numPr>
        <w:spacing w:before="320" w:after="120" w:line="340" w:lineRule="auto"/>
        <w:jc w:val="left"/>
      </w:pPr>
      <w:r>
        <w:rPr>
          <w:b/>
          <w:bCs/>
        </w:rPr>
        <w:t xml:space="preserve">Restricted Period; No Open-Ended Extension</w:t>
      </w:r>
    </w:p>
    <w:p>
      <w:pPr>
        <w:pStyle w:val="OABody"/>
        <w:spacing w:before="0" w:after="120" w:line="340" w:lineRule="auto"/>
        <w:ind w:left="720"/>
      </w:pPr>
      <w:r>
        <w:t xml:space="preserve">The Restricted Period for each covenant is a defined, fixed term running from the date Employee's employment ends, as specified in Cover Terms. The parties do not intend, and this agreement does not provide for, any extension of the Restricted Period during a breach or during enforcement litigation. The only Kansas appellate decision on point declined to enforce a tolling provision, reasoning that while a two-year period was a reasonable restriction, an indefinite extension of that period was not a reasonable restraint (Doan Family Corp. v. Arnberger, 522 P.3d 364 (Kan. Ct. App. 2022)). Consistent with that decision, Employer's remedy for competition during the Restricted Period is damages and injunctive relief, not added time; the Restricted Period is not extended, tolled, or suspended by any breach or dispute.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Kansas Uniform Trade Secrets Act, under which actual or threatened misappropriation of a trade secret may be enjoined independent of any covenant, and which is the exclusive remedy for trade-secret misappropriation, preempting tort claims for that recovery (Wolfe Electric, Inc. v. Duckworth, 293 Kan. 375, 266 P.3d 516 (2011)). Employee further acknowledges that Kansas appellate courts exercise unlimited review when determining whether a noncompete clause in an employment contract is enforceable as written (Doan Family Corp. v. Arnberger, 522 P.3d 364 (Kan. Ct. App. 2022)), so a recital of irreparable harm smooths the path to relief but does not substitute for a covenant that survives the four-factor Weber test. If the agreement is silent on fees, the American Rule applies; any fee provision the parties add should be mutual and prevailing-party in form.</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Kansas courts exercise their equitable powers to reduce an overbroad restraint to only what is necessary to protect the employer's interest and to enforce the covenant as reduced (Eastern Distributing Co. v. Flynn, 222 Kan. 666, 567 P.2d 1371 (1977)); Employer therefore requests that a court narrow any restraint in this agreement found to be overbroad and enforce it as narrowed. Two limits shape this request. First, that power reaches only unreasonable terms: because a reasonable term is enforced as written, a court has no discretion to rewrite a term that is already reasonable (Doan Family Corp. v. Arnberger, 522 P.3d 364 (Kan. Ct. App. 2022)). Second, the mandatory modify-and-enforce command of the Kansas Restraint of Trade Act (K.S.A. 50-163(b)) operates only on covenants the Act governs, and the Act excludes covenants not to compete (K.S.A. 50-163(e)(6)); for a traditional non-compete the operative narrowing authority is the common-law equity power, not the statute. Accordingly, each restrictive covenant in this agreement is drawn as a tiered, severable, reasonable restraint sized to the Protected Interests from the start and is intended to be enforceable as written rather than in reliance on judicial revision, because an employer that overreaches risks receiving only the minimum relief a court considers necessary.</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so that each covenant's clock is independently checkable against its own reasonableness analysis.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note that in a sale of the business the Kansas covenant landscape shifts with the signer: solicitation covenants signed by an owner or seller of any part of a business entity's assets or equity are conclusively presumed enforceable for up to four years following the end of the owner's business relationship under K.S.A. 50-163(c)(2) and (c)(3), a longer runway than the two-year employee clock, so an acquirer protecting purchased goodwill should paper sellers as owners rather than rely on assigned employee covenants alone.</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Kansas law governs, the enforceability of each restrictive covenant not to compete is determined under the common-law four-factor reasonableness test of Weber v. Tillman and its progeny, while the enumerated solicitation and owner covenants may qualify for the conclusive-presumption safe harbors of the Kansas Restraint of Trade Act (K.S.A. 50-163). Kansas has no statute overriding the parties' choice of law for restrictive covenants, so this selection does real work in deciding whether the Weber framework and the K.S.A. 50-163 safe harbors govern at all.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the parties intend this merger clause to name which covenant instrument survives, because continued employment alone supports a covenant signed after hire in Kansas and a superseded agreement should not remain live alongside its replacement.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