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Kentucky</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Started</w:t>
            </w:r>
          </w:p>
        </w:tc>
        <w:tc>
          <w:tcPr>
            <w:tcW w:w="6480" w:type="dxa"/>
            <w:tcMar>
              <w:top w:w="60" w:type="dxa"/>
              <w:left w:w="0" w:type="dxa"/>
              <w:bottom w:w="60" w:type="dxa"/>
              <w:right w:w="0" w:type="dxa"/>
            </w:tcMar>
          </w:tcPr>
          <w:p>
            <w:r>
              <w:rPr>
                <w:rFonts w:ascii="Arial" w:hAnsi="Arial" w:cs="Arial"/>
                <w:i/>
                <w:iCs/>
                <w:color w:val="494A4B"/>
                <w:sz w:val="21"/>
                <w:szCs w:val="21"/>
              </w:rPr>
              <w:t xml:space="preserve">false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New Consideration Provided</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Kentucky covenant may protect under the common-law fair-protection standard, namely Employer's Confidential Information, Employer's trade secrets as defined by the Kentucky Uniform Trade Secrets Act (KRS 365.880(4)),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Kentucky Uniform Trade Secrets Act, KRS 365.880(4).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Kentucky has no general non-compete statute; enforceability is governed by the common-law reasonableness standard restated in Kegel v. Tillotson, 297 S.W.3d 908 (Ky. App. 2009), under which a restraint of trade is reasonable only if, on consideration of the subject, the nature of the business, the situation of the parties, and the circumstances of the particular case, the restriction affords only fair protection to the interests of the covenantee and is not so large as to interfere with the public interests or impose undue hardship on the party restricted.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valid consideration and record the timing of execution relative to the start of employment in Cover Terms. If this agreement is signed at the outset of employment, the offer and commencement of employment is itself adequate consideration for the covenants. If Employee is an existing employee at the time of signing — that is, if the agreement is signed after employment began — the covenants must be supported by independent, new consideration beyond continued at-will employment, because under Charles T. Creech, Inc. v. Brown, 433 S.W.3d 345 (Ky. 2014), a covenant signed by a current employee who receives nothing new fails for lack of consideration where the employer forbears no legal right and the employee gains no new benefit. For any such mid-employment covenant, the specific new value exchanged — for example a bonus, a raise, a promotion, or specialized training — is identified in Cover Terms under New Consideration Provided and was actually delivered to Employee; the parties acknowledge that a bare recital of consideration does not, by itself, cure a missing exchange under Creech, and this agreement does not rely on recital language alone to supply consideration for a mid-employment covenant. Employee acknowledges having had the opportunity to consult with independent legal counsel before signing this agreement. Employee acknowledges that the restrictions in this agreement are reasonable and necessary to protect Employer's Protected Interests, and understands that valid consideration establishes only that the covenants are supported, not that they are reasonable — each covenant must independently satisfy the Kegel fair-protection standard on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Kentucky law, including the Kentucky Uniform Trade Secrets Act, KRS 365.880 through 365.900, which defines a trade secret by its independent economic value from not being generally known and by efforts that are reasonable under the circumstances to maintain its secrecy (KRS 365.880(4)).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KRS 365.880(4).</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No Kentucky statute speaks to employee non-solicits, so as the lightest restraint in this agreement this covenant is analyzed under the Kegel fair-protection standard and reaches only Covered Employees during the Restricted Period,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Kentucky courts analyze this customer non-solicitation covenant under the Kegel fair-protection standard (Kegel v. Tillotson, 297 S.W.3d 908 (Ky. App. 2009)); it reaches only Covered Customers with whom Employee had material contact and is no broader than necessary to protect Employer's goodwill in its customer relationships. Because enforcing this covenant turns on proving contact with protected customers rather than meeting the statutory trade-secret threshold, this covenant maps directly onto Employer's customer-goodwill interest and, together with the confidentiality and trade-secret protections in this agreement, is often a stronger and more readily enforceable protection than a broad non-compete.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harder on the undue-hardship and public-interest sides of the Kegel fair-protection standard it is sized tightly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Consistent with the Kegel v. Tillotson fair-protection standard, the parties intend this covenant to afford only fair protection to Employer's interests, to impose no undue hardship on Employee, and to cause no injury to the public, with its time and territory sized to Employee's actual role and Employer's actual market rather than to a safe-harbor number, because Kentucky imposes no statutory cap on duration or territory.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affords only fair protection.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Kegel fair-protection standard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Services Agency and Temporary Direct Care Staff Covenants</w:t>
      </w:r>
    </w:p>
    <w:p>
      <w:pPr>
        <w:pStyle w:val="OABody"/>
        <w:spacing w:before="0" w:after="120" w:line="340" w:lineRule="auto"/>
        <w:ind w:left="720"/>
      </w:pPr>
      <w:r>
        <w:t xml:space="preserve">Kentucky does not impose a general ban on physician non-competes; a physician or other ordinary clinician is analyzed under the same fair-protection reasonableness and consideration rules as any other employee. Kentucky's one categorical statutory ban targets a different class. If Employer is a health care services agency and Employee is temporary direct care staff contracted with or employed by the agency, this agreement does not, and may not, restrict in any manner Employee's employment opportunities, including through contract buy-out provisions or contract non-compete clauses, because KRS 216.724(1)(a) prohibits such restrictions and a non-complying contract is an unfair trade practice and void pursuant to KRS 365.060 (KRS 216.724(2)). No reasonableness analysis rescues a covenant the statute voids. This ban turns on the agency-and-temporary-staff relationship rather than on a license or job title, and a 2023 amendment leaves the placement of permanent direct care staff outside it. In that situation, any covenant in this agreement that would otherwise restrain Employee's employment opportunities is of no force or effect as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a Kentucky court would refuse to enforce — for missing consideration or overbreadth under the Kegel fair-protection standard — may expose Employer to a tortious-interference claim, and that it should condition any such notice on a restraint it is prepared to defend.</w:t>
      </w:r>
    </w:p>
    <w:p>
      <w:pPr>
        <w:pStyle w:val="OABody"/>
        <w:keepNext/>
        <w:numPr>
          <w:ilvl w:val="0"/>
          <w:numId w:val="1"/>
        </w:numPr>
        <w:spacing w:before="320" w:after="120" w:line="340" w:lineRule="auto"/>
        <w:jc w:val="left"/>
      </w:pPr>
      <w:r>
        <w:rPr>
          <w:b/>
          <w:bCs/>
        </w:rPr>
        <w:t xml:space="preserve">Extension of the Restricted Period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a period equal to the duration of the breach, so that Employer receives the benefit of the full duration of the restriction. The parties acknowledge that whether a Kentucky court will toll or extend a restricted period during breach or litigation is an unsettled question: no Kentucky statute or appellate decision squarely endorses automatic tolling, and Kentucky courts reform restraints toward reasonableness rather than mechanically enlarging them. Accordingly, any extension under this section is drafted as a separate, breach-tied, bounded restraint that must itself satisfy the Kegel fair-protection standard; the parties do not intend an open-ended or indefinite extension, and do not assume that a court will revive an expired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Kentucky Uniform Trade Secrets Act, KRS 365.880 through 365.900, under which actual or threatened misappropriation of a trade secret may be enjoined independent of any covenant. The court that grants equitable relief is the same court weighing whether each restraint affords only fair protection under the Kegel standard, so the acknowledgement supports the showing but does not replace it. Any fee-shifting provision the parties adopt should be mutual and prevailing-party based; the default American Rule applies if the agreement is silent on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Kentucky courts have adopted a blue-pencil rule and are empowered to reform or amend restrictions in a non-compete clause when the initial restrictions are overly broad or burdensome (Kegel v. Tillotson, 297 S.W.3d 908 (Ky. App. 2009)); a Kentucky court has gone as far as supplying a reasonable geographic limitation a covenant omitted, based on the parties' intent, at least in the sale-of-a-business context (Hodges v. Todd, 698 S.W.2d 317 (Ky. App. 1985)). Employer therefore requests reformation if any restraint in this agreement is found to be overbroad. That power is discretionary rather than automatic: a court is not obligated to rewrite an abusively broad covenant into something enforceable, and this agreement is not drafted in reliance on the blue-pencil power as a safety net. Accordingly,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is weighed on its own footing for fair protection and hardship so that a defensible covenant is not bundled with a shakier one.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include this express assignment and successor language, which names the restrictive covenants, because no Kentucky authority squarely resolves how covenants travel in a sale, so the contract text is what a successor will stand on; whoever ends up enforcing still inherits the same consideration and fair-protection reasonableness questions the original Employer faced.</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Kentucky law governs, the enforceability of each restrictive covenant is determined under the common-law fair-protection standard restated in Kegel v. Tillotson and its progeny; there is no general Kentucky non-compete statute and no statutory safe harbor, so each covenant is drafted to survive the holistic reasonableness analysis rather than to escape it. A clause selecting Kentucky law is strongest when it is paired with a genuine connection to Kentucky and a covenant reasonable on its own terms: federal courts sitting elsewhere have honored a contractual Kentucky choice-of-law clause for a non-compete, one applying Kentucky law pursuant to the agreement's choice-of-law and forum-selection clause (Senture, LLC v. Dietrich, 575 F. Supp. 2d 724 (E.D. Va. 2008)) and another holding that applying Kentucky law, which allows blue-penciling, was not so repugnant to the forum's public policy as to override the parties' choice (Edwards Moving &amp; Rigging, Inc. v. W.O. Grubb Steel Erection, Inc., No. 3:12CV146-HEH (E.D. Va. Apr. 23, 2012)). Those decisions are federal trial-court rulings rather than binding Kentucky Supreme Court authority and remain subject to the forum's public-policy limit, so the parties do not treat the choice-of-law clause as automatically dispositive.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 restrictive covenant added by amendment lands on a worker who is by definition already employed, so any such covenant needs independent, new consideration of its own under Charles T. Creech, Inc. v. Brown; a routine refresh that gives Employee nothing new does not, by itself, create an enforceable covenant.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