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{signed_after_employment_started}</w:t>
            </w:r>
          </w:p>
        </w:tc>
      </w:tr>
      <w:tr>
        <w:tc>
          <w:tcPr>
            <w:tcW w:w="3600" w:type="dxa"/>
            <w:tcMar>
              <w:top w:w="60" w:type="dxa"/>
              <w:left w:w="345" w:type="dxa"/>
              <w:bottom w:w="60" w:type="dxa"/>
              <w:right w:w="0" w:type="dxa"/>
            </w:tcMar>
          </w:tcPr>
          <w:p>
            <w:r>
              <w:t xml:space="preserve">{IF new_consideration_description}</w:t>
            </w:r>
            <w:r>
              <w:rPr>
                <w:rFonts w:ascii="Arial" w:hAnsi="Arial" w:cs="Arial"/>
                <w:i/>
                <w:iCs/>
                <w:color w:val="494A4B"/>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{new_consideration_description}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Kentucky covenant may protect under the common-law fair-protection standard, namely Employer's Confidential Information, Employer's trade secrets as defined by the Kentucky Uniform Trade Secrets Act (KRS 365.880(4)),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Kentucky has no general non-compete statute; enforceability is governed by the common-law reasonableness standard restated in Kegel v. Tillotson, 297 S.W.3d 908 (Ky. App. 2009), under which a restraint of trade is reasonable only if, on consideration of the subject, the nature of the business, the situation of the parties, and the circumstances of the particular case, the restriction affords only fair protection to the interests of the covenantee and is not so large as to interfere with the public interests or impose undue hardship on the party restricted.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must be supported by independent, new consideration beyond continued at-will employment, because under Charles T. Creech, Inc. v. Brown, 433 S.W.3d 345 (Ky. 2014), a covenant signed by a current employee who receives nothing new fails for lack of consideration where the employer forbears no legal right and the employee gains no new benefit. For any such mid-employment covenant, the specific new value exchanged — for example a bonus, a raise, a promotion, or specialized training — is identified in Cover Terms under New Consideration Provided and was actually delivered to Employee; the parties acknowledge that a bare recital of consideration does not, by itself, cure a missing exchange under Creech, and this agreement does not rely on recital language alone to supply consideration for a mid-employment covenant. Employee acknowledges having had the opportunity to consult with independent legal counsel before signing this agreement. Employee acknowledges that the restrictions in this agreement are reasonable and necessary to protect Employer's Protected Interests, and understands that valid consideration establishes only that the covenants are supported, not that they are reasonable — each covenant must independently satisfy the Kegel fair-protection standard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Kentucky law, including the Kentucky Uniform Trade Secrets Act, KRS 365.880 through 365.900, which defines a trade secret by its independent economic value from not being generally known and by efforts that are reasonable under the circumstances to maintain its secrecy (KRS 365.880(4)).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KRS 365.880(4).</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No Kentucky statute speaks to employee non-solicits, so as the lightest restraint in this agreement this covenant is analyzed under the Kegel fair-protection standard and reaches only Covered Employees during the Restricted Period,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Kentucky courts analyze this customer non-solicitation covenant under the Kegel fair-protection standard (Kegel v. Tillotson, 297 S.W.3d 908 (Ky. App. 2009)); it reaches only Covered Customers with whom Employee had material contact and is no broader than necessary to protect Employer's goodwill in its customer relationships. Because enforcing this covenant turns on proving contact with protected customers rather than meeting the statutory trade-secret threshold, this covenant maps directly onto Employer's customer-goodwill interest and, together with the confidentiality and trade-secret protections in this agreement,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because it presses harder on the undue-hardship and public-interest sides of the Kegel fair-protection standard it is sized tightly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Consistent with the Kegel v. Tillotson fair-protection standard, the parties intend this covenant to afford only fair protection to Employer's interests, to impose no undue hardship on Employee, and to cause no injury to the public, with its time and territory sized to Employee's actual role and Employer's actual market rather than to a safe-harbor number, because Kentucky imposes no statutory cap on duration or territory.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affords only fair protection.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analyzed under the Kegel fair-protection standard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Services Agency and Temporary Direct Care Staff Covenants</w:t>
      </w:r>
    </w:p>
    <w:p>
      <w:pPr>
        <w:pStyle w:val="OABody"/>
        <w:spacing w:before="0" w:after="120" w:line="340" w:lineRule="auto"/>
        <w:ind w:left="720"/>
      </w:pPr>
      <w:r>
        <w:t xml:space="preserve">Kentucky does not impose a general ban on physician non-competes; a physician or other ordinary clinician is analyzed under the same fair-protection reasonableness and consideration rules as any other employee. Kentucky's one categorical statutory ban targets a different class.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because KRS 216.724(1)(a) prohibits such restrictions and a non-complying contract is an unfair trade practice and void pursuant to KRS 365.060 (KRS 216.724(2)). No reasonableness analysis rescues a covenant the statute voids. This ban turns on the agency-and-temporary-staff relationship rather than on a license or job title, and a 2023 amendment leaves the placement of permanent direct care staff outside it. In that situation, any covenant in this agreement that would otherwise restrain Employee's employment opportunities is of no force or effect as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a Kentucky court would refuse to enforce — for missing consideration or overbreadth under the Kegel fair-protection standard — may expose Employer to a tortious-interference claim, and that it should condition any such notice on a restraint it is prepared to defend.</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 so that Employer receives the benefit of the full duration of the restriction. The parties acknowledge that whether a Kentucky court will toll or extend a restricted period during breach or litigation is an unsettled question: no Kentucky statute or appellate decision squarely endorses automatic tolling, and Kentucky courts reform restraints toward reasonableness rather than mechanically enlarging them. Accordingly, any extension under this section is drafted as a separate, breach-tied, bounded restraint that must itself satisfy the Kegel fair-protection standard; the parties do not intend an open-ended or indefinite extension, and do not assume that a court will revive an expired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Kentucky Uniform Trade Secrets Act, KRS 365.880 through 365.900, under which actual or threatened misappropriation of a trade secret may be enjoined independent of any covenant. The court that grants equitable relief is the same court weighing whether each restraint affords only fair protection under the Kegel standard, so the acknowledgement supports the showing but does not replace it. Any fee-shifting provision the parties adopt should be mutual and prevailing-party based; the default American Rule applies if the agreement is silent on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Kentucky courts have adopted a blue-pencil rule and are empowered to reform or amend restrictions in a non-compete clause when the initial restrictions are overly broad or burdensome (Kegel v. Tillotson, 297 S.W.3d 908 (Ky. App. 2009)); a Kentucky court has gone as far as supplying a reasonable geographic limitation a covenant omitted, based on the parties' intent, at least in the sale-of-a-business context (Hodges v. Todd, 698 S.W.2d 317 (Ky. App. 1985)). Employer therefore requests reformation if any restraint in this agreement is found to be overbroad. That power is discretionary rather than automatic: a court is not obligated to rewrite an abusively broad covenant into something enforceable, and this agreement is not drafted in reliance on the blue-pencil power as a safety net. Accordingly,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is weighed on its own footing for fair protection and hardship so that a defensible covenant is not bundled with a shakier one.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which names the restrictive covenants, because no Kentucky authority squarely resolves how covenants travel in a sale, so the contract text is what a successor will stand on; whoever ends up enforcing still inherits the same consideration and fair-protection reasonableness questions the original Employer faced.</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Kentucky law governs, the enforceability of each restrictive covenant is determined under the common-law fair-protection standard restated in Kegel v. Tillotson and its progeny; there is no general Kentucky non-compete statute and no statutory safe harbor, so each covenant is drafted to survive the holistic reasonableness analysis rather than to escape it. A clause selecting Kentucky law is strongest when it is paired with a genuine connection to Kentucky and a covenant reasonable on its own terms: federal courts sitting elsewhere have honored a contractual Kentucky choice-of-law clause for a non-compete, one applying Kentucky law pursuant to the agreement's choice-of-law and forum-selection clause (Senture, LLC v. Dietrich, 575 F. Supp. 2d 724 (E.D. Va. 2008)) and another holding that applying Kentucky law, which allows blue-penciling, was not so repugnant to the forum's public policy as to override the parties' choice (Edwards Moving &amp; Rigging, Inc. v. W.O. Grubb Steel Erection, Inc., No. 3:12CV146-HEH (E.D. Va. Apr. 23, 2012)). Those decisions are federal trial-court rulings rather than binding Kentucky Supreme Court authority and remain subject to the forum's public-policy limit, so the parties do not treat the choice-of-law clause as automatically dispositive.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 restrictive covenant added by amendment lands on a worker who is by definition already employed, so any such covenant needs independent, new consideration of its own under Charles T. Creech, Inc. v. Brown; a routine refresh that gives Employee nothing new does not, by itself, create an enforceable covenant.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