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Maine Statutory Gates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Pre-Offer Disclosure Date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{disclosure_date}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Agreement Delivery Date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{delivery_date}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Required Signing Date</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{required_signing_date}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Non-Compete Wage Floor</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{wage_floor_reference}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Non-Compete Effectiveness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{noncompete_effectiveness_reference}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skill and knowledge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that 26 M.R.S. § 599-A(2) permits a Maine restrictive covenant to protect: Employer's trade secrets, Employer's confidential information that does not qualify as a trade secret, and Employer's goodwill. Each restrictive covenant in this agreement is supported by, and drawn no broader than reasonably necessary to protect, one or more of those interests. A covenant aimed only at ordinary competition sits outside the statutory frame.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Maine Uniform Trade Secrets Act, 10 M.R.S. § 1542, which 26 M.R.S. § 599-A cross-references, and under applicable federal law, including information that derives independent economic value from not being generally known to, and not being readily ascertainable through proper means by, another person who can obtain economic value from its disclosure or use (see the federal Defend Trade Secrets Act, 18 U.S.C. § 1839(3)).</w:t>
      </w:r>
    </w:p>
    <w:p>
      <w:pPr>
        <w:pStyle w:val="OABody"/>
        <w:keepNext/>
        <w:numPr>
          <w:ilvl w:val="0"/>
          <w:numId w:val="1"/>
        </w:numPr>
        <w:spacing w:before="320" w:after="120" w:line="340" w:lineRule="auto"/>
        <w:jc w:val="left"/>
      </w:pPr>
      <w:r>
        <w:rPr>
          <w:b/>
          <w:bCs/>
        </w:rPr>
        <w:t xml:space="preserve">Recitals and Legitimate Business Interest</w:t>
      </w:r>
    </w:p>
    <w:p>
      <w:pPr>
        <w:pStyle w:val="OABody"/>
        <w:spacing w:before="0" w:after="120" w:line="340" w:lineRule="auto"/>
        <w:ind w:left="720"/>
      </w:pPr>
      <w:r>
        <w:t xml:space="preserve">Employer and Employee acknowledge that each restrictive covenant in this agreement is ancillary to a valid employment relationship and is included to protect one or more of the Protected Interests recognized by 26 M.R.S. § 599-A(2): Employer's trade secrets, Employer's confidential information that is not a trade secret, or Employer's goodwill. Employee will receive access to Employer's Confidential Information and Trade Secrets in the course of employment. Any non-compete in this agreement is included only because Employer has determined that the Protected Interest it serves cannot be adequately protected through an alternative restrictive covenant — including the non-solicitation and confidentiality covenants in this agreement — as contemplated by the alternatives presumption in 26 M.R.S. § 599-A(2). Each covenant is reasonable and no broader than necessary to protect the named interest, and the parties intend each covenant to be drawn within the scope Maine law permits at the outset rather than in reliance on any judicial narrowing.</w:t>
      </w:r>
    </w:p>
    <w:p>
      <w:pPr>
        <w:pStyle w:val="OABody"/>
        <w:keepNext/>
        <w:numPr>
          <w:ilvl w:val="0"/>
          <w:numId w:val="1"/>
        </w:numPr>
        <w:spacing w:before="320" w:after="120" w:line="340" w:lineRule="auto"/>
        <w:jc w:val="left"/>
      </w:pPr>
      <w:r>
        <w:rPr>
          <w:b/>
          <w:bCs/>
        </w:rPr>
        <w:t xml:space="preserve">Timing, Pre-Offer Disclosure, and Review Window</w:t>
      </w:r>
    </w:p>
    <w:p>
      <w:pPr>
        <w:pStyle w:val="OABody"/>
        <w:spacing w:before="0" w:after="120" w:line="340" w:lineRule="auto"/>
        <w:ind w:left="720"/>
      </w:pPr>
      <w:r>
        <w:t xml:space="preserve">This agreement is effective as of the Effective Date listed in Cover Terms. Where this agreement includes a non-compete, Employer and Employee acknowledge that 26 M.R.S. § 599-A(4) imposes two statutory timing duties on Employer. First, Employer disclosed the non-compete requirement to Employee before making the offer of employment, on the Pre-Offer Disclosure Date listed in Cover Terms. Second, Employer provided Employee a copy of this agreement on the Agreement Delivery Date listed in Cover Terms, which is not less than three business days before the Required Signing Date, so that Employee had time to review the agreement and negotiate its terms or the terms of employment. Employee may consult an attorney during that period. The parties acknowledge that a signature collected on time does not cure a missed pre-offer disclosure or a shortened review window, because those duties sit upstream of execution.</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Consistent with Bernier v. Merrill Air Eng'rs, 2001 ME 17, 770 A.2d 97, this section protects Employer's specialized, proprietary information and does not prohibit Employee from using the general skill and knowledge Employee acquired during employment, from disclosing information that is readily ascertainable to the public, or from disclosing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Maine Human Rights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reporting or discussing unlawful employment discrimination occurring in the workplace or at work-related events, which 26 M.R.S. § 599-C(2) preserves and which no term of this agreement waives or limits;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26 M.R.S. § 599-A(2) names a non-solicitation agreement among the alternative restrictive covenants the statute prefers to a non-compete, and this covenant is drawn to stay the lighter tool rather than a de facto hiring ban.</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26 M.R.S. § 599-A(2) names a non-solicitation agreement among the alternative restrictive covenants the statute prefers, but preference is not a pass: this covenant is included solely to protect Employer's goodwill and confidential information and is no broader than reasonably necessary to protect that interest, and it is limited to Covered Customers Employee actually served during the look-back period stated in Cover Terms.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which moves it away from the alternative restrictive covenants 26 M.R.S. § 599-A(2) prefers and toward the restraint the statute presumptively disfavors. The parties include this covenant only where a genuine goodwill or confidential-information interest supports it, and it is drawn no broader than reasonably necessary to protect that interest.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Under 26 M.R.S. § 599-A(2) a Maine non-compete is contrary to public policy and enforceable only to the extent it is reasonable and no broader than necessary to protect a Protected Interest; this covenant is included solely to protect Employer's Protected Interests and is drawn no wider than necessary to protect them (Lord v. Lord, 454 A.2d 830 (Me. 1983); Sisters of Charity Health Sys., Inc. v. Farrago, 2011 ME 62, 21 A.3d 110). This covenant does not apply, and Employer may not require or enter into it, if Employee earns wages at or below the Non-Compete Wage Floor listed in Cover Terms — 400% of the federal poverty level — under 26 M.R.S. § 599-A(3)(A). This covenant does not apply to a licensed veterinarian working in a veterinary facility unless Employee has an ownership interest in that facility (26 M.R.S. § 599-A(3)). Consistent with 26 M.R.S. § 599-A(5), the terms of this covenant do not take effect until the Non-Compete Effectiveness point listed in Cover Terms — the later of one year of Employee's employment with Employer or six months from the date this agreement was signed — except that, for an agreement between Employer and an allopathic physician or an osteopathic physician licensed under Title 32, chapter 48 or chapter 36, respectively, that delayed-effectiveness rule does not apply.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non-compete under 26 M.R.S. § 599-A; it therefore applies only to protect Employer's Protected Interests, is drawn no broader than reasonably necessary to protect them, and is subject to the same wage-floor, veterinarian, and delayed-effectiveness limits stated in the Non-Competition section.</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reporting or discussing unlawful employment discrimination as preserved by 26 M.R.S. § 599-C(2), or otherwise exercising rights protected by law.</w:t>
      </w:r>
    </w:p>
    <w:p>
      <w:pPr>
        <w:pStyle w:val="OABody"/>
        <w:keepNext/>
        <w:numPr>
          <w:ilvl w:val="0"/>
          <w:numId w:val="1"/>
        </w:numPr>
        <w:spacing w:before="320" w:after="120" w:line="340" w:lineRule="auto"/>
        <w:jc w:val="left"/>
      </w:pPr>
      <w:r>
        <w:rPr>
          <w:b/>
          <w:bCs/>
        </w:rPr>
        <w:t xml:space="preserve">Health-Care Practitioner and Physician Notices</w:t>
      </w:r>
    </w:p>
    <w:p>
      <w:pPr>
        <w:pStyle w:val="OABody"/>
        <w:spacing w:before="0" w:after="120" w:line="340" w:lineRule="auto"/>
        <w:ind w:left="720"/>
      </w:pPr>
      <w:r>
        <w:t xml:space="preserve">Two Maine rules on health-care workers run in opposite directions and both apply to this agreement. First, the delayed-effectiveness rule in 26 M.R.S. § 599-A(5) does not apply to a non-compete between Employer and an allopathic physician or an osteopathic physician licensed under Title 32, chapter 48 or chapter 36, respectively; for such a physician, the covenant is not held dormant by that timing rule. Second, that carve-out is a timing rule only and is not a healthcare-wide permission: L.D. 2200 (2026), An Act Relating to Noncompete Agreements Between Employers and Health Care Practitioners, applies to all noncompete agreements entered into or renewed on or after July 13, 2026, and reaches health-care practitioners far more broadly than the physician class. Where Employee is a health-care practitioner and this agreement is entered into or renewed on or after that date, the non-compete must be evaluated under L.D. 2200 rather than on the pre-amendment § 599-A rules alone, and counsel must confirm the codified statutory text because the published § 599-A page may lag the amendment.</w:t>
      </w:r>
    </w:p>
    <w:p>
      <w:pPr>
        <w:pStyle w:val="OABody"/>
        <w:keepNext/>
        <w:numPr>
          <w:ilvl w:val="0"/>
          <w:numId w:val="1"/>
        </w:numPr>
        <w:spacing w:before="320" w:after="120" w:line="340" w:lineRule="auto"/>
        <w:jc w:val="left"/>
      </w:pPr>
      <w:r>
        <w:rPr>
          <w:b/>
          <w:bCs/>
        </w:rPr>
        <w:t xml:space="preserve">No Employer-to-Employer No-Poach Terms</w:t>
      </w:r>
    </w:p>
    <w:p>
      <w:pPr>
        <w:pStyle w:val="OABody"/>
        <w:spacing w:before="0" w:after="120" w:line="340" w:lineRule="auto"/>
        <w:ind w:left="720"/>
      </w:pPr>
      <w:r>
        <w:t xml:space="preserve">Nothing in this agreement is, or authorizes, a restrictive employment agreement between employers. Under 26 M.R.S. § 599-B, an employer may not enter into, enforce, or threaten to enforce an agreement with one or more other employers — including through franchise agreements and contractor or subcontractor arrangements — that restricts one employer from soliciting or hiring another employer's employees or former employees. A violation is a civil violation carrying a fine of not less than $5,000, enforced by the Maine Department of Labor (26 M.R.S. § 599-B(3)). No provision of this agreement, and no commercial arrangement it implements, may contain any such employer-to-employer no-poach term.</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Employee signed elsewhere may never have ripened under Maine's delayed-effectiveness analysis, or may purport to bind a worker Maine would not allow to be bound, and that this representation is meant to surface such questions before the first customer contact.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Maine law and Employer has a reasonable belief that Employee may breach that covenant. Any such notice must be factual and tied to an enforceable covenant. Nothing in this section authorizes any arrangement with the new employer about who may solicit or hire whom, because an employer-to-employer restriction of that kind is exactly what 26 M.R.S. § 599-B prohibits.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parties acknowledge that no Maine statute or decision in the governing materials addresses whether a restricted period extends during a breach, and that Maine's delayed-effectiveness rule already makes the covenant's timing intricate. Any extension also lengthens a duration that must remain reasonable under Maine's fact-intensive test (Sisters of Charity Health Sys., Inc. v. Farrago, 2011 ME 62, 21 A.3d 110). Accordingly, 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Where the protected asset is a trade secret, actual or threatened misappropriation may be restrained or enjoined directly under the Maine Uniform Trade Secrets Act (10 M.R.S. § 1543). Under that act, the court may award actual-loss, unjust-enrichment, reasonable-royalty, and, for willful and malicious misappropriation, exemplary damages (10 M.R.S. § 1544), and may award reasonable attorney fees to the prevailing party for a bad-faith claim, a bad-faith motion regarding an injunction, or willful and malicious misappropriation (10 M.R.S. § 1545). Any fee-shifting between the parties under this agreement is mutual and prevailing-party based rather than a one-way employer term.</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Maine assesses a non-compete only as the employer has sought to apply it, not as it might have been enforced on its terms (Brignull v. Albert, 666 A.2d 82 (Me. 1995)), and whether a Maine court will rewrite an overbroad covenant as drafted is unsettled. The Law Court has also required specificity about the protected goodwill or business value before a severe restraint issues, directing that the protected asset be defined first and only then the scope reasonably necessary to protect it (Lord v. Lord, 454 A.2d 830 (Me. 1983)). This agreement therefore does not rely on any savings or reformation clause to cure overbreadth. Each restrictive covenant is instead drawn to the restraint Employer actually intends to enforce, with the record tying its scope to a named Protected Interest, and as-applied review is treated as a discipline on enforcement requests rather than an invitation to draft broad.</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Because a non-compete may still be dormant when employment ends if the § 599-A(5) effectiveness period has not run, this section does not assume that every covenant was operative from the first day of employment.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The parties acknowledge the Maine renewal trap: a covenant re-signed or re-papered in connection with a transaction restarts the six-months-from-signing half of the § 599-A(5) effectiveness clock, and a renewal on or after July 13, 2026 pulls a health-care practitioner's covenant into the L.D. 2200 restriction.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worker who primarily resides and works in Maine, this agreement is drawn to be read under Maine law, whose § 599-A framework treats non-competes as contrary to public policy and imposes the disclosure, review-window, and delayed-effectiveness mechanics recited above; a choice-of-law clause selecting another state's law for such a worker should be treated as a localization gap to investigate rather than deferred to. Accordingly, for a Maine-based worker, this agreement is governed by Maine law and disputes over the enforceability of the covenants will be resolved in a Maine forum.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that re-papers a non-compete restarts the six-months-from-signing half of the § 599-A(5) effectiveness clock and that a renewal on or after July 13, 2026 can carry the covenant into the L.D. 2200 health-care-practitioner restriction.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(Maine)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