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 Consideration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{ma_noncompete_consideration}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Mass. Gen. Laws ch. 149, § 24L(b)(iii) permits a noncompetition agreement to protect: Employer's trade secrets, Employer's Confidential Information that would not otherwise qualify as a trade secret, and Employer's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one or more of the legitimate business interests that Mass. Gen. Laws ch. 149, § 24L(b)(iii) permits a noncompetition agreement to protect: (A) Employer's trade secrets; (B) Employer's Confidential Information that would not otherwise qualify as a trade secret; or (C) Employer's goodwill. The parties acknowledge that, under Massachusetts law, protection from ordinary competition is not a legitimate business interest.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(Mass. Gen. Laws ch. 149, § 24L(b)(i)).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(Mass. Gen. Laws ch. 149, § 24L(b)(ii)). Employee acknowledges that the restrictions in this agreement are reasonable and necessary to protect Employer's Protected Interests. If the employment relationship later changes materially, Employer may ask Employee to execute a new agreement that complies with the statute then in effect.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Massachusetts law, including the Massachusetts Uniform Trade Secrets Act, Mass. Gen. Laws ch. 93, §§ 42–42G.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is a covenant not to solicit Employer's customers, clients, or vendors and, under Mass. Gen. Laws ch. 149, § 24L(a), it is not a noncompetition agreement subject to that section's garden-leave, duration, and notice requirements; it is governed by common-law reasonableness and protects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As a covenant not to transact business with Employer's customers, clients, or vendors, this restriction is excluded from the Massachusetts Noncompetition Agreement Act by Mass. Gen. Laws ch. 149, § 24L(a) and is governed by common-law reasonableness; it protects Employer's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the Massachusetts Noncompetition Agreement Act, Mass. Gen. Laws ch. 149, § 24L. It is no broader than necessary to protect Employer's Protected Interests, and the Restricted Period for this covenant does not exceed 12 months from the cessation of employment, except that it may extend to no more than 2 years from cessation if Employee has breached a fiduciary duty to Employer or has unlawfully taken, physically or electronically, property belonging to Employer (Mass. Gen. Laws ch. 149, § 24L(b)(iv)). This covenant is supported by the garden leave clause or other mutually-agreed upon consideration stated in Cover Terms (Mass. Gen. Laws ch. 149, § 24L(b)(vii)), and is subject to the worker exemptions stated below. The Restricted Territory is intended to be reasonable in geographic reach, and the Competitive Business is intended to be reasonable in the scope of proscribed activities, each in relation to the Protected Interests (Mass. Gen. Laws ch. 149, § 24L(b)(v)–(vi)); this covenant is intended to be consonant with public policy (Mass. Gen. Laws ch. 149, § 24L(b)(viii)). Consistent with Massachusetts common law, a covenant not to compete is enforceable only if it is necessary to protect a legitimate business interest, reasonably limited in time and space, and consonant with the public interest.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This noncompetition agreement is supported by the garden leave clause or other mutually-agreed upon consideration stated in Cover Terms, as required by Mass. Gen. Laws ch. 149, § 24L(b)(vii). A qualifying garden leave clause provides for the payment to Employee, on a pro-rata basis during the entirety of the Restricted Period for the non-compete and consistent with the wage-payment requirements of Mass. Gen. Laws ch. 149, § 148, of at least 50 percent of Employee's highest annualized base salary paid by Employer within the 2 years preceding the cessation of employment. Where the parties instead agree to other mutually-agreed upon consideration, that consideration is the amount stated in Cover Terms. Because the statute does not define consideration other than garden leave, the consideration is intended to be sized conservatively against the garden-leave benchmark.</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is not enforceable against, and does not apply to, Employee if Employee falls within any category against which Mass. Gen. Laws ch. 149, § 24L(c) makes a noncompetition agreement unenforceable: (i) an employee classified as nonexempt under the Fair Labor Standards Act, 29 U.S.C. §§ 201–219; (ii) an undergraduate or graduate student engaged in an internship or other short-term employment relationship while enrolled in a full-time or part-time educational program; (iii) an employee who has been terminated without cause or laid off; or (iv) an employee age 18 or younger. For purposes of this section and Mass. Gen. Laws ch. 149, § 24L, the term employee includes an independent contractor under Mass. Gen. Laws ch. 149, § 148B. The other restrictive covenants in this agreement remain in effect to the extent they are otherwise enforceable.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To the extent this covenant restricts Employee from engaging in activities competitive with Employer after employment ends — for example, serving as a director, officer, manager, or advisor to a Competitive Business — it is a noncompetition agreement under Mass. Gen. Laws ch. 149, § 24L and applies only on the same terms as the non-compete in this agreement, including the garden leave or other agreed consideration, the 12-month duration cap, and the worker exemptions stated above; it does not restrict Passive Public Holdings.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(Mass. Gen. Laws ch. 112, § 12X), a registered or practical nurse (Mass. Gen. Laws ch. 112, § 74D), a licensed psychologist (Mass. Gen. Laws ch. 112, § 129B), or a licensed social worker (Mass. Gen. Laws ch. 112, § 135C).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a violation of that prohibition exposes Employer to the affected Employee's reasonable attorneys' fees and costs (Mass. Gen. Laws ch. 149, § 186).</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the non-compete, no extension under this section may cause the Restricted Period to run beyond the latest point permitted by Mass. Gen. Laws ch. 149, § 24L(b)(iv) — that is, beyond 12 months from the cessation of employment, or beyond 2 years from the cessation of employment only where Employee has breached a fiduciary duty to Employer or has unlawfully taken, physically or electronically, property belonging to Employer. Because Massachusetts courts will not equitably extend a noncompetition restraint beyond its stated term (see EMC Corp. v. Arturi and Automile Holdings, LLC v. McGovern), this express provision is the parties' agreed mechanism for any extension during a breach, and it cannot lengthen the non-compete beyond that statutory ceiling.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Mass. Gen. Laws ch. 149, § 24L(d), a court may, in its discretion, reform or otherwise revise a noncompetition agreement so as to render it valid and enforceable to the extent necessary to protect Employer's applicable legitimate business interests, and Employer requests such reformation if any restraint in this agreement is found to be overbroad. Because that reformation power is discretionary, the parties intend each restrictive covenant in this agreement to be drawn no broader than necessary and to be independently enforceable, rather than to rely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The Employer named in this agreement is the entity that actually employs Employee. Because Mass. Gen. Laws ch. 149, § 24L governs an agreement between an employer and an employee, the noncompetition obligations run to and are enforceable by that employing entity, and are not intended to be enforced by a parent, holding company, or affiliate that is not Employee's employer.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Massachusetts Noncompetition Agreement Act, Mass. Gen. Laws ch. 149, § 24L, for agreements entered into on or after October 1, 2018. No choice-of-law provision shall be applied to avoid the requirements of Mass. Gen. Laws ch. 149, § 24L if Employee is, and has been for at least 30 days immediately preceding the cessation of employment, a resident of or employed in Massachusetts. All civil actions relating to the noncompetition agreement in this agreement shall be brought in the county where Employee resides or, if Employer and Employee mutually agree, in Suffolk County, as required by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