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reasonable competitive business interests a Michigan covenant may protect under MCL § 445.774a(1), namely Employer's Confidential Information, Employer's trade secrets as defined by the Michigan Uniform Trade Secrets Act (MCL § 445.1902(d)), and Employer's relationships and goodwill with its customers, patients, referral sources, and business partners, but not Employer's interest in avoiding ordinary competition and not the general knowledge or skill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Michigan Uniform Trade Secrets Act, MCL § 445.1902(d).</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Michigan authorizes an employee covenant under MCL § 445.774a(1): an employer may obtain a covenant that protects its reasonable competitive business interests and prohibits post-termination employment or a line of business, if the covenant is reasonable as to its duration, geographical area, and the type of employment or line of business. The parties acknowledge that, to be reasonable in relation to Employer's competitive business interest, each covenant must protect against Employee gaining an unfair advantage in competition with Employer and must not prohibit Employee from using general knowledge or skill (St. Clair Medical, P.C. v. Borgiel, 270 Mich. App. 260 (2006)), and that a covenant is enforceable only to the extent it provides reasonable protection for Employer's confidential information and no further (Follmer, Rudzewicz &amp; Co., P.C. v. Kosco, 420 Mich. 394 (1984)). Employer would not provide Employee with access to these Protected Interests absent the protections in this agreement. This agreement is an employee restrictive covenant governed by the MCL § 445.774a(1) reasonableness framework; a covenant ancillary to the sale of a business or between businesses is instead evaluated under the antitrust rule of reason (Innovation Ventures, LLC v. Liquid Mfg., LLC, 499 Mich. 491 (2016); MCL §§ 445.772, 445.784(2)) and is outside the scope of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which the parties identify as </w:t>
      </w:r>
      <w:r>
        <w:rPr>
          <w:highlight w:val="yellow"/>
        </w:rPr>
        <w:t xml:space="preserve">{michigan_consideration}</w:t>
      </w:r>
      <w:r>
        <w:t xml:space="preserve">. Under Michigan law, mere continuation of employment is sufficient consideration to support a non-compete only in a genuine at-will employment setting; where Employee is a just-cause or contract employee, continued employment alone is not sufficient, because refusing to sign would not amount to just cause for termination, and separate identifiable consideration is required (QIS, Inc. v. Industrial Quality Control, Inc., 262 Mich. App. 592 (2004)). Employee acknowledges having had the opportunity to consult with independent legal counsel before signing this agreement, and, where this agreement is presented as part of an onboarding packet, the parties intend the covenants to be examined for reasonableness as terms of an adhesion-style hiring agreement rather than assumed enforceable (Rayford v. American House Roseville I, LLC, ___ Mich. ___ (2025)). Employee acknowledges that the restrictions in this agreement are reasonable and necessary to protect Employer's Protected Interests, and understands that supporting consideration establishes only that the covenants are supported, not that they are reasonable — each covenant must independently satisfy the MCL § 445.774a(1) reasonableness test on duration, geography, and line of business.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Michigan law, including the Michigan Uniform Trade Secrets Act, MCL §§ 445.1901–445.1910, which defines a trade secret by its independent economic value from not being generally known and by efforts that are reasonable under the circumstances to maintain its secrecy (MCL § 445.1902(d)). This confidentiality obligation is intended to operate alongside, and independent of, any restrictive covenant, is enforceable only to the extent it provides reasonable protection for Employer's confidential information (Follmer, Rudzewicz &amp; Co., P.C. v. Kosco, 420 Mich. 394 (1984)),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MCL § 445.1902(d).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As the lightest restraint in this agreement, this covenant reaches only Covered Employees during the Restricted Period and is drawn no broader than necessary to protect Employer's workforce stability and goodwill; a covenant that reads as a workforce-wide hiring ban would draw the same reasonableness scrutiny under MCL § 445.774a(1) as a non-compete.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reasonable competitive business interest in its customer relationships and the confidential information behind them; it reaches only Covered Customers with whom Employee had material contact and is no broader than necessary, because a non-solicit that followed every customer Employer has ever billed would protect against ordinary competition rather than an unfair advantage (St. Clair Medical, P.C. v. Borgiel, 270 Mich. App. 260 (2006)). Together with the confidentiality and trade-secret protections in this agreement, this covenant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restrains the Covered Customer's choice as much as Employee's conduct. Michigan's leading overbreadth decision faulted exactly that move, holding that Employer has no unlimited right to restrict the business choices of its clients (Mid Mich. Med. Billing Serv., Inc. v. Williams, No. 323890 (Mich. Ct. App. Feb. 18, 2016)); this covenant is therefore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(St. Clair Medical, P.C. v. Borgiel, 270 Mich. App. 260 (2006)). Consistent with MCL § 445.774a(1),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targets an unfair advantage rather than ordinary competition.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functions as a covenant not to compete under MCL § 445.774a(1)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states Michigan's position plainly: there is no categorical physician rule, and a physician covenant runs through the ordinary MCL § 445.774a(1) reasonable-competitive-business-interest test, which a physician covenant can satisfy (St. Clair Medical, P.C. v. Borgiel, 270 Mich. App. 260 (2006)). The distinctive Michigan issue is proof rather than validity: Michigan's physician-patient privilege can block discovery of nonparty patient information in covenant-enforcement litigation, so a medical employer's enforcement plan should rest on non-privileged evidence of diversion (Isidore Steiner, DPM, PC v. Bonanni, 292 Mich. App. 265 (2011)). Any physician covenant in this agreement is intended to use a reasonable radius and term sized to the interest protected and to be enforced only to the extent it survives the MCL § 445.774a(1) reasonableness test. There is no enacted Michigan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a court later narrows or declines to enforce may expose Employer to a tortious-interference claim, and that it should condition any such disclosure on the covenant as it would actually be enforced under MCL § 445.774a(1).</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acknowledge that tolling and any extension of a restraint are an open question under Michigan law: the remedial text of MCL § 445.774a(1) authorizes a court to limit an unreasonable covenant, not to extend one, and any extension must itself remain reasonable under the test the courts apply as a question of law when the facts are undisputed (Coates v. Bastian Bros., Inc., 276 Mich. App. 498 (2007)). The parties do not intend an open-ended or indefinite extension, and intend that any tolling remain bounded and reasonable.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actual or threatened misappropriation of a trade secret under the Michigan Uniform Trade Secrets Act. The parties acknowledge that fee awards run in both directions: MCL § 445.774a itself provides no fee award, while the Michigan Uniform Trade Secrets Act permits a court to award reasonable attorney's fees to the prevailing party where a misappropriation claim is made in bad faith or where willful and malicious misappropriation exists (MCL § 445.1905), and this agreement does not contradict that reciprocal exposure.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Michigan is a statutory blue-pencil state: to the extent a covenant is found to be unreasonable in any respect, MCL § 445.774a(1) empowers a court to limit the agreement to render it reasonable in light of the circumstances in which it was made and to specifically enforce the agreement as limited, and the Court of Appeals has confirmed that the statute lets a court modify an unreasonable covenant rather than void it outright (Mid Mich. Med. Billing Serv., Inc. v. Williams, No. 323890 (Mich. Ct. App. Feb. 18, 2016)); Employer therefore requests reformation if any restraint in this agreement is found to be overbroad. That power is discretionary rather than automatic: the statute provides that a court may limit an unreasonable covenant, never that it must, and a court may decline to save a covenant it views as punitive. Accordingly, each restrictive covenant in this agreement is drawn as a reasonable, severable restraint with its scope, geography, and duration sized to the Protected Interests from the outset, and is intended to be enforceable as written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must still tie each restraint to a reasonable competitive business interest that the assignee or successor actually holds under MCL § 445.774a(1).</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Michigan law governs, the enforceability of each restrictive covenant is determined under MCL § 445.774a(1); there is no fixed numeric safe harbor, so each covenant is drafted to survive the reasonableness analysis rather than to escape it. The parties agree to a Michigan forum for disputes arising out of or relating to this agreement, and acknowledge that a Michigan forum-selection clause is valid and enforceable under Michigan law (Stryker Corp. v. Ridgeway, 858 F.3d 383 (6th Cir. 2017)) and that a Michigan court applies Michigan law to determine the effect of a forum-selection clause separately from any choice-of-law provision (Barshaw v. Allegheny Performance Plastics, LLC, 334 Mich. App. 741 (2020)). Disputes will be resolved in the courts of the Governing Law state, subject to non-waivable rights under applicable law. The parties intend that the governing-law and venue choices match where Employee actually lives and works and be drafted as a coherent pair.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that this merger clause make clear exactly which signed document carries the restrictive covenants and what was exchanged for them, because Michigan courts examine terms buried in adhesion-style hiring packets for reasonableness (Rayford v. American House Roseville I, LLC, ___ Mich. ___ (2025)).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