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Ohio</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an Ohio covenant may protect under the Raimonde v. Van Vlerah reasonableness rule, namely Employer's Confidential Information, Employer's trade secrets as defined by the Ohio Uniform Trade Secrets Act (Ohio Rev. Code § 1333.61), and Employer's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Ohio Uniform Trade Secrets Act, Ohio Rev. Code § 1333.61(D).</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Ohio has no general non-compete statute; enforceability is governed by the common-law reasonableness rule of Raimonde v. Van Vlerah, 42 Ohio St. 2d 21, 325 N.E.2d 544 (1975), under which a post-employment restraint is reasonable only if it is no greater than is required for the protection of the employer, does not impose undue hardship on the employee, and is not injurious to the public. The parties acknowledge that each covenant is meant to guard Employer's Confidential Information, trade secrets, and customer goodwill and not to eliminate ordinary competition, and that Employer would not provide Employee with access to these Protected Interests absent the protections in this agreement. Each covenant is intended to be reasonable in time, territory, and scope,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the parties agree that, in exchange for Employee's assent to the covenants in this agreement, Employer continues an at-will employment relationship that it could otherwise legally have terminated without cause, which is itself sufficient consideration for the covenants under Lake Land Emp. Group of Akron, LLC v. Columber, 101 Ohio St. 3d 242, 2004-Ohio-786; no separate payment, raise, or promotion is required.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 each covenant must independently satisfy the Raimonde reasonableness test on time, territory, and scope.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Ohio law, including the Ohio Uniform Trade Secrets Act, Ohio Rev. Code §§ 1333.61–1333.69, which defines a trade secret by its independent economic value from not being generally known and by efforts that are reasonable under the circumstances to maintain its secrecy (Ohio Rev. Code § 1333.61(D)).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Ohio Rev. Code § 1333.61(D).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As the lightest restraint in this agreement, this covenant is analyzed under the Raimonde reasonableness rule and reaches only Covered Employees during the Restricted Period,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Ohio courts analyze this customer non-solicitation covenant under the Raimonde reasonableness rule (Raimonde v. Van Vlerah, 42 Ohio St. 2d 21, 325 N.E.2d 544 (1975)); it reaches only Covered Customers with whom Employee had material contact and is no broader than necessary to protect Employer's goodwill in its customer relationships. This covenant maps directly onto Employer's customer-goodwill interest and, together with the confidentiality and trade-secret protections in this agreement, is often a stronger and more readily enforceable protection than a broad non-compete.</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because it presses harder on the undue-hardship prong of the Raimonde reasonableness rule it is sized tightly to the goodwill it protects and reaches only Covered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goodwill — and not to restrain ordinary competition. Consistent with the Raimonde v. Van Vlerah reasonableness rule, the parties intend this covenant to be no greater than is required for the protection of Employer, to impose no undue hardship on Employee, and to cause no injury to the public, with its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because a restraint bound to named competitors is strong evidence that it is no greater than required.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post-employment restraint analyzed under the Raimonde reasonableness rule and is drawn no broader than necessary to protect Employer's Protected Interests.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any covenant in this agreement restraining Employee from the practice of medicine is drafted against Ohio's heightened public-interest scrutiny for physician covenants and not as an ordinary commercial restraint. Ohio courts hold that a covenant restraining a physician-employee from competing with the employer is unreasonable where it imposes undue hardship on the physician and is injurious to the public because the physician's services are vital to the health, care, and treatment of the public and the demand for that medical expertise is critical to the community (MetroHealth Sys. v. Khandelwal, 2022-Ohio-77, 183 N.E.3d 590 (8th Dist.); Williams v. Hobbs, 9 Ohio App. 3d 331, 460 N.E.2d 287 (10th Dist. 1983)). Accordingly, any physician covenant in this agreement is intended to use a narrow radius and a short term, to preserve patient access and continuity of care, and to be enforced only to the extent it survives that heightened scrutiny under the Raimonde reasonableness rule. There is no enacted Ohio statute banning health-care non-competes, and this agreement does not assume any pending legislation.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notice built on a covenant that later fails the Raimonde reasonableness analysis may expose Employer to a claim, and that it should condition any such notice on a restraint it is prepared to defend on all three prongs.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Consistent with Ohio law, the parties further acknowledge that a covenant not to compete may not expire while the enforceability of the agreement is being litigated, so that the Restricted Period may be equitably extended until the litigation is resolved (Homan, Inc. v. A1 AG Servs., L.L.C., 175 Ohio App. 3d 51, 2008-Ohio-277 (3d Dist.)). Any such extension is itself a restraint that must remain reasonable and bounded under the Raimonde rule; the parties do not intend an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Ohio Uniform Trade Secrets Act, Ohio Rev. Code § 1333.62(A), under which actual or threatened misappropriation of a trade secret may be enjoined independent of any covenant. Employer acknowledges that overreach has a price: where a covenant fails and the agreement contains a prevailing-party fee provision, a court applying Ohio law has required the employer to pay the former employee's attorney's fees and litigation costs under the employer's own clause (Cintas Corp. v. Perry, 517 F.3d 459 (7th Cir. 2008)).</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Ohio courts are empowered to modify or amend an overbroad covenant and to enforce it to the extent necessary to protect the employer's legitimate interests, having abandoned strict blue-penciling in Raimonde v. Van Vlerah, 42 Ohio St. 2d 21, 325 N.E.2d 544 (1975); Employer therefore requests reformation if any restraint in this agreement is found to be overbroad. That power is discretionary rather than automatic: an Ohio court may decline to rewrite a covenant so overbroad that reforming it would require rebuilding the agreement (Kross Acquisition Co. v. Groundworks Ohio, LLC, 2024-Ohio-592, 236 N.E.3d 453 (1st Dist.)). Accordingly, each restrictive covenant in this agreement is drawn as a tiered, severable, reasonable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include this express assignment and successor language so that a buyer may enforce the covenants in transactions that are not statutory mergers; after a statutory merger, a surviving company may enforce these covenants as if it had stepped into Employer's shoes even without assignment language, provided the covenants are reasonable in its hands (Acordia of Ohio, L.L.C. v. Fishel, 133 Ohio St. 3d 356, 2012-Ohio-4648).</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Ohio law governs, the enforceability of each restrictive covenant is determined under the common-law reasonableness rule of Raimonde v. Van Vlerah and its progeny; there is no general Ohio non-compete statute and no statutory safe harbor, so each covenant is drafted to survive the holistic reasonableness analysis rather than to escape it.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