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Ohio covenant may protect under the Raimonde v. Van Vlerah reasonableness rule, namely Employer's Confidential Information, Employer's trade secrets as defined by the Ohio Uniform Trade Secrets Act (Ohio Rev. Code § 1333.61),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Ohio Uniform Trade Secrets Act, Ohio Rev. Code § 1333.61(D).</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Ohio has no general non-compete statute; enforceability is governed by the common-law reasonableness rule of Raimonde v. Van Vlerah, 42 Ohio St. 2d 21, 325 N.E.2d 544 (1975), under which a post-employment restraint is reasonable only if it is no greater than is required for the protection of the employer, does not impose undue hardship on the employee, and is not injurious to the public.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in exchange for Employee's assent to the covenants in this agreement, Employer continues an at-will employment relationship that it could otherwise legally have terminated without cause, which is itself sufficient consideration for the covenants under Lake Land Emp. Group of Akron, LLC v. Columber, 101 Ohio St. 3d 242, 2004-Ohio-786;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Raimonde reasonableness test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Ohio law, including the Ohio Uniform Trade Secrets Act, Ohio Rev. Code §§ 1333.61–1333.69, which defines a trade secret by its independent economic value from not being generally known and by efforts that are reasonable under the circumstances to maintain its secrecy (Ohio Rev. Code § 1333.61(D)).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Ohio Rev. Code § 1333.61(D).</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is analyzed under the Raimonde reasonableness rule and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Ohio courts analyze this customer non-solicitation covenant under the Raimonde reasonableness rule (Raimonde v. Van Vlerah, 42 Ohio St. 2d 21, 325 N.E.2d 544 (1975)); it reaches only Covered Customers with whom Employee had material contact and is no broader than necessary to protect Employer's goodwill in its customer relationships. This covenant maps directly onto Employer's customer-goodwill interest and, together with the confidentiality and trade-secret protections in this agreement,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the undue-hardship prong of the Raimonde reasonableness rule it is sized tightly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Consistent with the Raimonde v. Van Vlerah reasonableness rule, the parties intend this covenant to be no greater than is required for the protection of Employer,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required.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Raimonde reasonableness rule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drafted against Ohio's heightened public-interest scrutiny for physician covenants and not as an ordinary commercial restraint. Ohio courts hold that a covenant restraining a physician-employee from competing with the employer is unreasonable where it imposes undue hardship on the physician and is injurious to the public because the physician's services are vital to the health, care, and treatment of the public and the demand for that medical expertise is critical to the community (MetroHealth Sys. v. Khandelwal, 2022-Ohio-77, 183 N.E.3d 590 (8th Dist.); Williams v. Hobbs, 9 Ohio App. 3d 331, 460 N.E.2d 287 (10th Dist. 1983)). Accordingly, any physician covenant in this agreement is intended to use a narrow radius and a short term, to preserve patient access and continuity of care, and to be enforced only to the extent it survives that heightened scrutiny under the Raimonde reasonableness rule. There is no enacted Ohio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the Raimonde reasonableness analysis may expose Employer to a claim, and that it should condition any such notice on a restraint it is prepared to defend on all three prongs.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Consistent with Ohio law, the parties further acknowledge that a covenant not to compete may not expire while the enforceability of the agreement is being litigated, so that the Restricted Period may be equitably extended until the litigation is resolved (Homan, Inc. v. A1 AG Servs., L.L.C., 175 Ohio App. 3d 51, 2008-Ohio-277 (3d Dist.)). Any such extension is itself a restraint that must remain reasonable and bounded under the Raimonde rule;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Ohio Uniform Trade Secrets Act, Ohio Rev. Code § 1333.62(A), under which actual or threatened misappropriation of a trade secret may be enjoined independent of any covenant. Employer acknowledges that overreach has a price: where a covenant fails and the agreement contains a prevailing-party fee provision, a court applying Ohio law has required the employer to pay the former employee's attorney's fees and litigation costs under the employer's own clause (Cintas Corp. v. Perry, 517 F.3d 459 (7th Cir. 2008)).</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Ohio courts are empowered to modify or amend an overbroad covenant and to enforce it to the extent necessary to protect the employer's legitimate interests, having abandoned strict blue-penciling in Raimonde v. Van Vlerah, 42 Ohio St. 2d 21, 325 N.E.2d 544 (1975); Employer therefore requests reformation if any restraint in this agreement is found to be overbroad. That power is discretionary rather than automatic: an Ohio court may decline to rewrite a covenant so overbroad that reforming it would require rebuilding the agreement (Kross Acquisition Co. v. Groundworks Ohio, LLC, 2024-Ohio-592, 236 N.E.3d 453 (1st Dist.)). Accordingly,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so that a buyer may enforce the covenants in transactions that are not statutory mergers; after a statutory merger, a surviving company may enforce these covenants as if it had stepped into Employer's shoes even without assignment language, provided the covenants are reasonable in its hands (Acordia of Ohio, L.L.C. v. Fishel, 133 Ohio St. 3d 356, 2012-Ohio-4648).</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Ohio law governs, the enforceability of each restrictive covenant is determined under the common-law reasonableness rule of Raimonde v. Van Vlerah and its progeny; there is no general Ohio non-compete statute and no statutory safe harbor, so each covenant is drafted to survive the holistic reasonableness analysis rather than to escape it.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