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business interests the Texas Covenants Not to Compete Act permits a covenant to protect under Tex. Bus. &amp; Com. Code § 15.50(a), including Employer's goodwill,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Texas Uniform Trade Secrets Act, Tex. Civ. Prac. &amp; Rem. Code § 134A.002(6).</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Employer and Employee acknowledge that the restrictive covenants in this agreement are ancillary to and part of an otherwise enforceable agreement between them at the time this agreement is made, as required by Tex. Bus. &amp; Com. Code § 15.50(a). As consideration, Employer agrees to provide, and during employment will provide, Employee with Confidential Information, specialized training, and access to Employer's goodwill and customer relationships; that consideration is reasonably related to Employer's interest in protecting its goodwill and other business interests worthy of protection (Marsh USA Inc. v. Cook, 354 S.W.3d 764 (Tex. 2011)). Because the employment relationship may be at will, the parties intend that these covenants become enforceable when Employer performs that promise by providing the Confidential Information, training, or other consideration described above, and Employee acknowledges that Employer's promise to provide Confidential Information gives rise to Employer's interest in restraining its disclosure or use (Alex Sheshunoff Mgmt. Servs., L.P. v. Johnson, 209 S.W.3d 644 (Tex. 2006); Mann Frankfort Stein &amp; Lipp Advisors, Inc. v. Fielding, 289 S.W.3d 844 (Tex. 2009)). The restraints in this agreement contain limitations as to time, geographical area, and scope of activity to be restrained that are reasonable and do not impose a greater restraint than necessary to protect Employer's goodwill or other business interest, as required by Tex. Bus. &amp; Com. Code § 15.50(a).</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Texas law, including the Texas Uniform Trade Secrets Act, Tex. Civ. Prac. &amp; Rem. Code §§ 134A.001–134A.008. This confidentiality obligation does not restrict Employee's use of the general knowledge, skill, and experience Employee acquired during employment, consistent with the Texas Uniform Trade Secrets Act, Tex. Civ. Prac. &amp; Rem. Code § 134A.003,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Texas courts analyze this customer non-solicitation covenant under the Covenants Not to Compete Act's reasonableness test (Tex. Bus. &amp; Com. Code § 15.50(a)); it reaches only Covered Customers with whom Employee had material contact and is no broader than necessary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analyzed under the Covenants Not to Compete Act's reasonableness test (Tex. Bus. &amp; Com. Code § 15.50(a)) and reaches only Covered Customers with whom Employee had material contact, no broader than necessary to protect Employer's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contains limitations as to time, geographic area, and scope of activity to be restrained that are reasonable and impose no greater restraint than necessary to protect Employer's goodwill and other Protected Interests, as required by Tex. Bus. &amp; Com. Code § 15.50(a).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licensed by the Texas Medical Board and this agreement contains a covenant not to compete relating to the practice of medicine, then, as required by Tex. Bus. &amp; Com. Code § 15.50(b): the covenant does not deny Employee access to a list of patients whom Employee has seen or treated within one year before termination; Employee is entitled, on reasonable terms, to access and copies of the medical records of those patients on the patient's authorization; the covenant provides for continuity of care during an acute illness even after the contract or employment terminates; and the covenant provides for a buyout of the covenant by Employee at a reasonable price or, at Employee's election, at a price determined by a mutually agreed arbitrator, in an amount not greater than Employee's total annual salary and wages at the time of termination (§ 15.50(b)(2)). The covenant expires no later than one year after termination, is limited to a radius of no more than five miles from the location where Employee primarily practiced, and is stated clearly and conspicuously in writing (§ 15.50(b)(4)). The practice of medicine does not include managing or directing medical services in a purely administrative capacity (§ 15.50(b-1)), and § 15.50(b) does not apply to Employee's ownership interest in a licensed hospital or licensed ambulatory surgical center (§ 15.50(c)). For an agreement entered into on or after September 1, 2025, the covenant is void and unenforceable if Employee is involuntarily discharged from contract or employment without good cause — meaning a reasonable basis for discharge that is directly related to Employee's conduct, job performance, or contract or employment record (§ 15.50(d)). If Employee is a licensed dentist, a person licensed in professional or vocational nursing, or a licensed physician assistant, then, for an agreement entered into on or after September 1, 2025, any covenant not to compete relating to that practice must provide the same salary-capped buyout, must expire no later than one year after termination, must be limited to a radius of no more than five miles from the location where Employee primarily practiced, and must be stated clearly and conspicuously in writing (§ 15.501).</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Texas Uniform Trade Secrets Act, Tex. Civ. Prac. &amp; Rem. Code § 134A.003, to prevent actual or threatened misappropriation of trade secrets. The parties acknowledge that, under Tex. Bus. &amp; Com. Code § 15.51(c), if Employee proves that Employer knew when this agreement was executed that the covenant's limitations were not reasonable and that Employer sought to enforce the covenant to a greater extent than necessary to protect Employer's goodwill or other business interest, the court may award Employee the cost of defense, including reasonable attorney's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Tex. Bus. &amp; Com. Code § 15.51(c), if a court finds that this covenant is ancillary to or part of an otherwise enforceable agreement but contains limitations as to time, geographic area, or scope of activity that are not reasonable and impose a greater restraint than necessary to protect Employer's goodwill or other business interest, the court shall reform the covenant to the extent necessary to make those limitations reasonable and shall enforce the covenant as reformed. The parties acknowledge that, on reformation, the court may not award Employer damages for any breach of the covenant occurring before reformation and may grant only injunctive relief for that period; each restrictive covenant in this agreement is therefore drawn to its final intended scope and does not rely on reformation as a drafting strategy.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Texas Covenants Not to Compete Act, Tex. Bus. &amp; Com. Code §§ 15.50–15.52. Disputes will be resolved in the courts of the Governing Law state, subject to non-waivable rights under applicable law. For a Texas-based Employee, the parties intend Texas law to govern the enforceability of the restrictive covenants: Texas treats the enforcement of covenants not to compete as a matter of fundamental policy (DeSantis v. Wackenhut Corp., 793 S.W.2d 670 (Tex. 1990)), and a foreign choice-of-law clause will not be applied to escape that policy for a Texas worker. A mandatory forum-selection clause is enforceable in Texas, by mandamus if necessary (In re AutoNation, Inc., 228 S.W.3d 663 (Tex. 2007)). The criteria, procedures, and remedies of the Texas Covenants Not to Compete Act are exclusive and preempt other law, including the common law, under Tex. Bus. &amp; Com. Code § 15.52.</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