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Vermont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Vermont covenant may protect under the Andrus reasonableness rule, namely Employer's Confidential Information, Employer's trade secrets as defined by the Vermont Trade Secrets Act (9 V.S.A. §§ 4601–4609), and Employer's goodwill in its customer, vendor, referral-source, and business-partner relationships, which Vermont recognizes as protectable interests broader than trade secrets and confidential customer information (Sys. &amp; Software, Inc. v. Barnes, 2005 VT 95, ¶ 5),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to "trade secret" in the Vermont Trade Secrets Act, 9 V.S.A. §§ 4601–4609.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Vermont has no general non-compete statute; enforceability is governed by the common-law reasonableness rule of Vermont Electric Supply Co. v. Andrus, 132 Vt. 195, 315 A.2d 456 (1974), under which enforcement will be ordered unless the agreement is contrary to public policy, unnecessary for protection of the employer, or unnecessarily restrictive of the rights of the employee, with due regard to the subject matter of the contract and the circumstances of performance. Vermont courts frame that test through Restatement (Second) of Contracts § 188(1), which makes a restraint unreasonable if it is greater than is needed to protect the employer's legitimate interest or if that need is outweighed by the hardship to the employee and the likely injury to the public, and they proceed with caution when asked to enforce covenants against competitive employment (Sys. &amp; Software, Inc. v. Barnes, 2005 VT 95, 178 Vt. 389, 886 A.2d 762).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continued employment alone is sufficient consideration to support the covenants in this agreement, because Vermont adopts the majority rule that continued employment alone is sufficient consideration to support a covenant not to compete entered into during an at-will employment relationship (Summits 7, Inc. v. Kelly, 2005 VT 97, ¶ 18, 178 Vt. 396, 886 A.2d 365); no separate payment, raise, or promotion is required as a matter of doctrine.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Andrus reasonableness test on time, territory, and scope, and the employer bears the burden of proving the reasonable necessity of the restrictive covenant (Summits 7, ¶ 14).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Vermont law, including the Vermont Trade Secrets Act, 9 V.S.A. §§ 4601–4609, under which a court may enjoin actual or threatened misappropriation of a trade secret, and an injunction is terminated when the trade secret ceases to exist but may be continued for an additional reasonable period to eliminate commercial advantage that otherwise would be derived from the misappropriation (9 V.S.A. § 4602(a)).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reduce the risk of actual or threatened misappropriation and give Employer conduct-specific proof if injunctive relief is ever needed under the Vermont Trade Secrets Act, 9 V.S.A. § 4602(a).</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Andrus reasonableness rule and reaches only Covered Employees during the Restricted Period, no broader than necessary to protect Employer's workforce stability and goodwill. The parties acknowledge that where a hiring restraint operates between businesses — such as a franchisor no-poach provision — it may be policed outside the common-law covenant framework by state enforcement authorities.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Vermont courts analyze this customer non-solicitation covenant under the Andrus reasonableness rule (Vermont Electric Supply Co. v. Andrus, 132 Vt. 195, 315 A.2d 456 (1974)); it reaches only Covered Customers with whom Employee had material contact and is no broader than necessary to protect Employer's goodwill in its customer relationships, which Vermont recognizes as a protectable interest broader than trade secrets and confidential customer information (Sys. &amp; Software, Inc. v. Barnes, 2005 VT 95, ¶ 5). This covenant maps directly onto Employer's customer-goodwill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both prongs of the Restatement framing adopted in Barnes — more restraint than the interest needs, and more hardship and public injury on the other side of the scale — it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Andrus reasonableness rule and its Restatement (Second) of Contracts § 188(1) framing in Barnes, the parties intend this covenant to be no greater than is needed to protect Employer's legitimate interest, to impose no undue hardship on Employee, and to cause no injury to the public, with its time and territory sized to Employee's actual role and Employer's actual market and, as Roy's Orthopedic (1982) requires, tied to a determinable place.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Andrus reasonableness rule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licensed healthcare professional, any covenant in this agreement restraining Employee from practicing is drafted against the same Andrus reasonableness test that governs every other Vermont covenant, and not as a categorically prohibited restraint. As of the drafting of this template, Vermont has no enacted statute banning healthcare non-competes; a physician or other healthcare-professional covenant runs through the reasonableness test, and the employer carries the same burden of proving reasonable necessity, with the public-interest prong weighing patient access and continuity of care. Accordingly, any healthcare-professional covenant in this agreement is intended to use a narrow radius and a short term, to preserve patient access and continuity of care, and to be enforced only to the extent it survives the Andrus reasonableness rule. This agreement does not assume any pending legislation; the parties acknowledge that legislation affecting healthcare-professional covenants may be enacted and that this section should be re-reviewed on any such enactment.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Andrus reasonableness analysis may expose Employer to a claim, and that it should condition any such notice on a restraint it is prepared to defend as consistent with public policy, necessary for its protection, and no more restrictive of Employee than that protection requires.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The parties acknowledge that Vermont law does not supply this extension by default: the Vermont Supreme Court has refused to extend a covenant's time period after litigation delay ran out the clock, holding that the term of the noncompetition agreement was a matter of contract between the parties and that the court will construe contracts but will not make them for the parties, and it declined to recharacterize the extension as a postponed commencement date (Roy's Orthopedic, Inc. v. Lavigne, 145 Vt. 324, 487 A.2d 173 (1985)). This express tolling term is therefore stated in the contract itself rather than left to a court to imply, and any such extension is itself a restraint that must remain reasonable and bounded under the Andrus rule;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Vermont Trade Secrets Act, 9 V.S.A. § 4602(a), under which actual or threatened misappropriation of a trade secret may be enjoined independent of any covenant. The parties acknowledge that this statutory standard demands conduct- or threat-specific proof of actual or threatened misappropriation and does not follow from the bare fact that Employee has taken a new position, and that Vermont has not adopted inevitable disclosure as a standalone basis for enjoining a former employee. Any fee-shifting the parties add should be mutual and prevailing-party based; absent an express provision, the American Rule applies and each party bears its own attorney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intend this severability clause to operate as a backstop and not as a strategy for judicial narrowing: each covenant is drafted to a defensible scope, geography, and duration at the outset rather than in reliance on a court trimming an overbroad restraint.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Vermont law on judicial narrowing of an overbroad covenant is unsettled, and this agreement does not rely on a court to rescue an overbroad restraint. The conservative anchor is Roy's Orthopedic, Inc. v. Lavigne, 145 Vt. 324, 487 A.2d 173 (1985): the term of the noncompetition agreement is a matter of contract between the parties, and the court will construe contracts but will not make them for the parties. The contrary signal is dicta only — Summits 7, Inc. v. Kelly, 2005 VT 97, ¶ 23, observes that most modern courts agree a trial court can enforce restrictive covenants to the extent they are reasonable, and A.N. Deringer, Inc. v. Strough, 103 F.3d 243, 247-48 (2d Cir. 1996), predicted that Vermont would permit enforcement of a defective restrictive covenant to the limit of its validity. Because neither strand gives the parties a narrowing right to rely on, each restrictive covenant in this agreement is drawn as a tiered, severable, reasonable restraint sized to the Protected Interests from the start and is intended to be enforceable as written. If any restraint is nonetheless found overbroad, Employer requests that the covenant be enforced to the extent reasonable to the degree Vermont law permits; the parties do not treat that request as a substitute for drafting within a defensible scope.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The parties acknowledge that Vermont takes a covenant's stated term literally — in the leading single-county case the restrictions were at an end after five years (Vermont Electric Supply Co. v. Andrus, 132 Vt. 195, 199, 315 A.2d 456, 458 (1974)) — so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because Vermont treats a restrictive covenant as a distinct, negotiated term rather than an automatic incident of a transaction (Miller v. Flegenheimer, 2016 VT 125, ¶ 21, 203 Vt. 620, 161 A.3d 524); a covenant's transfer in any sale should be papered explicitly, and the enforcing business inherits the Andrus reasonableness analysis re-measured against its own actual market. Where a covenant is ancillary to the sale of a business, Vermont gives it more breathing room on duration and geography when it is supported by dedicated transaction consideration and sized to the acquired goodwill: a five-year, twenty-five-mile covenant delivered at closing with consideration paid for the covenant alone was reasonable as to time and place (Fine Foods, Inc. v. Dahlin, 147 Vt. 599, 523 A.2d 1228 (1986)), and a five-year covenant with dedicated consideration is treated as a bargained-for transaction asset (Foti Fuels, Inc. v. Kurrle Corp., 2013 VT 111, 195 Vt. 524, 90 A.3d 885).</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Vermont law governs, the enforceability of each restrictive covenant is determined under the common-law reasonableness rule of Vermont Electric Supply Co. v. Andrus and its progeny; there is no general Vermont non-compete statute and no statutory safe harbor, so each covenant is drafted to survive the holistic reasonableness analysis rather than to escape it. The parties further acknowledge two categorical Vermont bars that no drafting can cure: a school of barbering or cosmetology may not require a covenant not to compete as a condition of training for licensure (26 V.S.A. § 281(c)), and a partnership, shareholders, operating, or employment agreement may not restrict a lawyer's right to practice after termination of the relationship, except concerning retirement benefits, nor may a restriction on a lawyer's right to practice be part of the settlement of a client controversy (Vt. R. Prof. Conduct 5.6).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confirm that every covenant term — duration, geography, scope, and consideration — is closed in this agreement rather than deferred to a side understanding, because in Vermont leaving material covenant terms open, including whether a deal carries a non-compete at all, can defeat contract formation (Miller v. Flegenheimer, 2016 VT 125, ¶ 21, 203 Vt. 620, 161 A.3d 524).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