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Vermont covenant may protect under the Andrus reasonableness rule, namely Employer's Confidential Information, Employer's trade secrets as defined by the Vermont Trade Secrets Act (9 V.S.A. §§ 4601–4609), and Employer's goodwill in its customer, vendor, referral-source, and business-partner relationships, which Vermont recognizes as protectable interests broader than trade secrets and confidential customer information (Sys. &amp; Software, Inc. v. Barnes, 2005 VT 95, ¶ 5),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to "trade secret" in the Vermont Trade Secrets Act, 9 V.S.A. §§ 4601–4609.</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Vermont has no general non-compete statute; enforceability is governed by the common-law reasonableness rule of Vermont Electric Supply Co. v. Andrus, 132 Vt. 195, 315 A.2d 456 (1974), under which enforcement will be ordered unless the agreement is contrary to public policy, unnecessary for protection of the employer, or unnecessarily restrictive of the rights of the employee, with due regard to the subject matter of the contract and the circumstances of performance. Vermont courts frame that test through Restatement (Second) of Contracts § 188(1), which makes a restraint unreasonable if it is greater than is needed to protect the employer's legitimate interest or if that need is outweighed by the hardship to the employee and the likely injury to the public, and they proceed with caution when asked to enforce covenants against competitive employment (Sys. &amp; Software, Inc. v. Barnes, 2005 VT 95, 178 Vt. 389, 886 A.2d 762).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continued employment alone is sufficient consideration to support the covenants in this agreement, because Vermont adopts the majority rule that continued employment alone is sufficient consideration to support a covenant not to compete entered into during an at-will employment relationship (Summits 7, Inc. v. Kelly, 2005 VT 97, ¶ 18, 178 Vt. 396, 886 A.2d 365); no separate payment, raise, or promotion is required as a matter of doctrine.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Andrus reasonableness test on time, territory, and scope, and the employer bears the burden of proving the reasonable necessity of the restrictive covenant (Summits 7, ¶ 14).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Vermont law, including the Vermont Trade Secrets Act, 9 V.S.A. §§ 4601–4609, under which a court may enjoin actual or threatened misappropriation of a trade secret, and an injunction is terminated when the trade secret ceases to exist but may be continued for an additional reasonable period to eliminate commercial advantage that otherwise would be derived from the misappropriation (9 V.S.A. § 4602(a)).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reduce the risk of actual or threatened misappropriation and give Employer conduct-specific proof if injunctive relief is ever needed under the Vermont Trade Secrets Act, 9 V.S.A. § 4602(a).</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analyzed under the Andrus reasonableness rule and reaches only Covered Employees during the Restricted Period, no broader than necessary to protect Employer's workforce stability and goodwill. The parties acknowledge that where a hiring restraint operates between businesses — such as a franchisor no-poach provision — it may be policed outside the common-law covenant framework by state enforcement authorities.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Vermont courts analyze this customer non-solicitation covenant under the Andrus reasonableness rule (Vermont Electric Supply Co. v. Andrus, 132 Vt. 195, 315 A.2d 456 (1974)); it reaches only Covered Customers with whom Employee had material contact and is no broader than necessary to protect Employer's goodwill in its customer relationships, which Vermont recognizes as a protectable interest broader than trade secrets and confidential customer information (Sys. &amp; Software, Inc. v. Barnes, 2005 VT 95, ¶ 5). This covenant maps directly onto Employer's customer-goodwill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both prongs of the Restatement framing adopted in Barnes — more restraint than the interest needs, and more hardship and public injury on the other side of the scale — it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Consistent with the Andrus reasonableness rule and its Restatement (Second) of Contracts § 188(1) framing in Barnes, the parties intend this covenant to be no greater than is needed to protect Employer's legitimate interest, to impose no undue hardship on Employee, and to cause no injury to the public, with its time and territory sized to Employee's actual role and Employer's actual market and, as Roy's Orthopedic (1982) requires, tied to a determinable place.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Andrus reasonableness rule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licensed healthcare professional, any covenant in this agreement restraining Employee from practicing is drafted against the same Andrus reasonableness test that governs every other Vermont covenant, and not as a categorically prohibited restraint. As of the drafting of this template, Vermont has no enacted statute banning healthcare non-competes; a physician or other healthcare-professional covenant runs through the reasonableness test, and the employer carries the same burden of proving reasonable necessity, with the public-interest prong weighing patient access and continuity of care. Accordingly, any healthcare-professional covenant in this agreement is intended to use a narrow radius and a short term, to preserve patient access and continuity of care, and to be enforced only to the extent it survives the Andrus reasonableness rule. This agreement does not assume any pending legislation; the parties acknowledge that legislation affecting healthcare-professional covenants may be enacted and that this section should be re-reviewed on any such enactment.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the Andrus reasonableness analysis may expose Employer to a claim, and that it should condition any such notice on a restraint it is prepared to defend as consistent with public policy, necessary for its protection, and no more restrictive of Employee than that protection requires.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The parties acknowledge that Vermont law does not supply this extension by default: the Vermont Supreme Court has refused to extend a covenant's time period after litigation delay ran out the clock, holding that the term of the noncompetition agreement was a matter of contract between the parties and that the court will construe contracts but will not make them for the parties, and it declined to recharacterize the extension as a postponed commencement date (Roy's Orthopedic, Inc. v. Lavigne, 145 Vt. 324, 487 A.2d 173 (1985)). This express tolling term is therefore stated in the contract itself rather than left to a court to imply, and any such extension is itself a restraint that must remain reasonable and bounded under the Andrus rule;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Vermont Trade Secrets Act, 9 V.S.A. § 4602(a), under which actual or threatened misappropriation of a trade secret may be enjoined independent of any covenant. The parties acknowledge that this statutory standard demands conduct- or threat-specific proof of actual or threatened misappropriation and does not follow from the bare fact that Employee has taken a new position, and that Vermont has not adopted inevitable disclosure as a standalone basis for enjoining a former employee. Any fee-shifting the parties add should be mutual and prevailing-party based; absent an express provision, the American Rule applies and each party bears its own attorney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The parties intend this severability clause to operate as a backstop and not as a strategy for judicial narrowing: each covenant is drafted to a defensible scope, geography, and duration at the outset rather than in reliance on a court trimming an overbroad restraint.</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Vermont law on judicial narrowing of an overbroad covenant is unsettled, and this agreement does not rely on a court to rescue an overbroad restraint. The conservative anchor is Roy's Orthopedic, Inc. v. Lavigne, 145 Vt. 324, 487 A.2d 173 (1985): the term of the noncompetition agreement is a matter of contract between the parties, and the court will construe contracts but will not make them for the parties. The contrary signal is dicta only — Summits 7, Inc. v. Kelly, 2005 VT 97, ¶ 23, observes that most modern courts agree a trial court can enforce restrictive covenants to the extent they are reasonable, and A.N. Deringer, Inc. v. Strough, 103 F.3d 243, 247-48 (2d Cir. 1996), predicted that Vermont would permit enforcement of a defective restrictive covenant to the limit of its validity. Because neither strand gives the parties a narrowing right to rely on, each restrictive covenant in this agreement is drawn as a tiered, severable, reasonable restraint sized to the Protected Interests from the start and is intended to be enforceable as written. If any restraint is nonetheless found overbroad, Employer requests that the covenant be enforced to the extent reasonable to the degree Vermont law permits; the parties do not treat that request as a substitute for drafting within a defensible scope.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The parties acknowledge that Vermont takes a covenant's stated term literally — in the leading single-county case the restrictions were at an end after five years (Vermont Electric Supply Co. v. Andrus, 132 Vt. 195, 199, 315 A.2d 456, 458 (1974)) — so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because Vermont treats a restrictive covenant as a distinct, negotiated term rather than an automatic incident of a transaction (Miller v. Flegenheimer, 2016 VT 125, ¶ 21, 203 Vt. 620, 161 A.3d 524); a covenant's transfer in any sale should be papered explicitly, and the enforcing business inherits the Andrus reasonableness analysis re-measured against its own actual market. Where a covenant is ancillary to the sale of a business, Vermont gives it more breathing room on duration and geography when it is supported by dedicated transaction consideration and sized to the acquired goodwill: a five-year, twenty-five-mile covenant delivered at closing with consideration paid for the covenant alone was reasonable as to time and place (Fine Foods, Inc. v. Dahlin, 147 Vt. 599, 523 A.2d 1228 (1986)), and a five-year covenant with dedicated consideration is treated as a bargained-for transaction asset (Foti Fuels, Inc. v. Kurrle Corp., 2013 VT 111, 195 Vt. 524, 90 A.3d 885).</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Vermont law governs, the enforceability of each restrictive covenant is determined under the common-law reasonableness rule of Vermont Electric Supply Co. v. Andrus and its progeny; there is no general Vermont non-compete statute and no statutory safe harbor, so each covenant is drafted to survive the holistic reasonableness analysis rather than to escape it. The parties further acknowledge two categorical Vermont bars that no drafting can cure: a school of barbering or cosmetology may not require a covenant not to compete as a condition of training for licensure (26 V.S.A. § 281(c)), and a partnership, shareholders, operating, or employment agreement may not restrict a lawyer's right to practice after termination of the relationship, except concerning retirement benefits, nor may a restriction on a lawyer's right to practice be part of the settlement of a client controversy (Vt. R. Prof. Conduct 5.6).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confirm that every covenant term — duration, geography, scope, and consideration — is closed in this agreement rather than deferred to a side understanding, because in Vermont leaving material covenant terms open, including whether a deal carries a non-compete at all, can defeat contract formation (Miller v. Flegenheimer, 2016 VT 125, ¶ 21, 203 Vt. 620, 161 A.3d 524).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