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West Virginia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(if signed after hire)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Sale-of-Business Covenant</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and other Confidential Information, its customer lists, its customer goodwill, and any unusual training in which Employer has invested, and does not include Employee's general knowledge, skill, and experience.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West Virginia Uniform Trade Secrets Act (W. Va. Code §§ 47-22-1 to 47-22-10) and, where applicable, the federal Defend Trade Secrets Act (18 U.S.C. § 1839).</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and each covenant is included to protect those Protected Interests, not to restrain ordinary competition. Employer and Employee agree that each covenant is no greater than is required for the protection of those Protected Interests, does not impose undue hardship on Employee, and is not injurious to the public,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is the consideration for the covenants. If this agreement is signed after Employee's employment has begun, the consideration for the covenants is the new value stated in Cover Terms under New Consideration (if signed after hire).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operates alongside, and independent of, the restrictive covenants in this agreement, and it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responding to a subpoena, court order, or lawful demand of a government agency, with notice to Employer where permitted by law;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is included to protect Employer's workforce stability and goodwill and is drawn no broader than reasonably necessary to protect them.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or for whom Employee had responsibility; it does not bar Employee from working in Employee's field or from engaging in business generally. This covenant is included to protect Employer's customer goodwill and Confidential Information and is drawn no broader than reasonably necessary to protect them.</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or for whom Employee had responsibility, and it is included to protect Employer's customer goodwill and drawn no broader than reasonably necessary to protect that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its time and territory are sized to Employee's actual role and Employer's actual market at signing. Where Cover Terms list Specified Competitors, this covenant is limited to those named competitors. If Cover Terms indicate this covenant is a Sale-of-Business Covenant, it is given by Employee in connection with Employee's sale of a business or practice to Employer and is supported by the consideration paid in that transaction.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below the threshold stated in Cover Terms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not to compete in this agreement is subject to W. Va. Code §§ 47-11E-1 to 47-11E-5 and, notwithstanding any other provision of this agreement: (a) the covenant is limited to not more than one year in duration and thirty road miles from Employee's primary place of practice with Employer; and (b) the covenant is void and unenforceable upon the termination of Employee's employment by Employer. The limits in this section do not restrict the provisions of this agreement on return of Employer property, patient lists, and records; repayment of loans, relocation expenses, signing bonuses, or recruiting, education, and training costs; nondisclosure of Confidential Information and Trade Secrets; non-solicitation of patients and employees; or liquidated damages. The limits in this section do not apply where Employee has sold his or her business or practice to Employer, or where this agreement is between physicians who are shareholders, owners, partners, members, or directors of a health care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equitably extended by the period of the breach. Any extension is limited to the period of the breach, and no extension enlarges any physician covenant beyond the limits stated in the Physician and Health Care Practitioner Covenants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to read on its own, so that a court's refusal to enforce one covenant does not affect the others.</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overbreadth and does not purport to obligate a court to narrow, reform, or blue-pencil any covenant;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is intended to expire on its own definite schedule and to read on its own.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