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legitimate business interests in its Confidential Information, customer and business-partner relationships, workforce stability, and goodwill.</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Wyo. Stat. § 6-3-501(a)(xi).</w:t>
      </w:r>
    </w:p>
    <w:p>
      <w:pPr>
        <w:pStyle w:val="OABody"/>
        <w:keepNext/>
        <w:numPr>
          <w:ilvl w:val="0"/>
          <w:numId w:val="1"/>
        </w:numPr>
        <w:spacing w:before="320" w:after="120" w:line="340" w:lineRule="auto"/>
        <w:jc w:val="left"/>
      </w:pPr>
      <w:r>
        <w:rPr>
          <w:b/>
          <w:bCs/>
        </w:rPr>
        <w:t xml:space="preserve">Timing and Employee Acknowledgements</w:t>
      </w:r>
    </w:p>
    <w:p>
      <w:pPr>
        <w:pStyle w:val="OABody"/>
        <w:spacing w:before="0" w:after="120" w:line="340" w:lineRule="auto"/>
        <w:ind w:left="720"/>
      </w:pPr>
      <w:r>
        <w:t xml:space="preserve">Employee acknowledges that the restrictions in this agreement are reasonable and necessary to protect Employer's Protected Interests. Employee acknowledges having had the opportunity to consult with independent legal counsel before signing this agreement.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Employee's obligations regarding other Confidential Information continue for the period specified in Cover Terms. Trade secrets are protected under Wyoming law, including Wyo. Stat. § 6-3-501(a)(xi).</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Practitioner sources flag uncertainty about whether Wyo. Stat. § 1-23-108 could reach certain non-solicitation provisions depending on how they function.</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If the Cover Terms indicate that this restriction applies, it requires a lawful restriction pathway under Wyo. Stat. § 1-23-108.</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is included only because the restriction pathway specified by Employer supports its enforceability under Wyo. Stat. § 1-23-108.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 This covenant requires a lawful restriction pathway under Wyo. Stat. § 1-23-108.</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Body"/>
        <w:keepNext/>
        <w:numPr>
          <w:ilvl w:val="0"/>
          <w:numId w:val="1"/>
        </w:numPr>
        <w:spacing w:before="320" w:after="120" w:line="340" w:lineRule="auto"/>
        <w:jc w:val="left"/>
      </w:pPr>
      <w:r>
        <w:rPr>
          <w:b/>
          <w:bCs/>
        </w:rPr>
        <w:t xml:space="preserve">Physician-Specific Rights and Notices</w:t>
      </w:r>
    </w:p>
    <w:p>
      <w:pPr>
        <w:pStyle w:val="OABody"/>
        <w:spacing w:before="0" w:after="120" w:line="340" w:lineRule="auto"/>
        <w:ind w:left="720"/>
      </w:pPr>
      <w:r>
        <w:t xml:space="preserve">If Employee is a physician, then notwithstanding any other provision of this agreement, Wyo. Stat. § 1-23-108(b) preserves other enforceable provisions of this agreement even if a non-compete provision is void. A physician Employee with patients diagnosed with rare disorders (as defined by the National Organization for Rare Disorders) may notify those patients of their new practice location without liability under this agreement.</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If Employer prevails in any action to enforce this agreement, Employee must reimburse Employer's reasonable attorney's fees and costs.</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including Wyo. Stat. § 1-23-108 for contracts entered into on or after July 1, 2025.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(Wyoming) (v2.0).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(Wyoming) (v2.0).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(Wyoming) (v2.0).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