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dates anchor the timeline every restraint runs on: when each restricted period starts and ends, and which window of customer contact the covered-customer look-back measures.]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Nebraska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Broad definitions that reach beyond the customers the worker actually served are high risk under Nebraska's customer-scope rule, and breadth added here cannot be trimmed by a court later.]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clients and accounts of Employer with whom Employee actually did business and had personal contact during the </w:t>
      </w:r>
      <w:r>
        <w:rPr>
          <w:b w:val="0"/>
          <w:bCs w:val="0"/>
        </w:rPr>
        <w:t xml:space="preserve">12 months</w:t>
      </w:r>
      <w:r>
        <w:t xml:space="preserve"> before termination of employment. This definition does not reach clients or accounts the Employee did not personally serve, and it does not reach prospective customers.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this agreement is intended to protect, namely Employer's Confidential Information, Employer's trade secrets as defined by the Nebraska Trade Secrets Act (Neb. Rev. Stat. § 87-502), and Employer's goodwill in the customer relationships Employee personally served, but not Employer's interest in avoiding ordinary competition from a former employee who has simply become a stronger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Nebraska Trade Secrets Act, Neb. Rev. Stat. § 87-502(4).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The parties acknowledge that each covenant is meant to guard Employer's Confidential Information, trade secrets, and goodwill in the customer relationships Employee personally served — not to eliminate ordinary competition — and that Employer would not provide Employee with access to these Protected Interests absent the protections in this agreement. Each covenant is intended to be reasonable and no greater than necessary as written, and to stand on its own.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Employee acknowledges that this agreement is supported by adequate consideration and records when it is signed relative to the first day of work, so that the timing and exchanged value are on the record. Employee acknowledges having had the opportunity to consult with independent legal counsel before signing this agreement. Employee acknowledges that the restrictions in this agreement are intended to be reasonable and no greater than necessary to protect Employer's Protected Interests, and understands that adequate consideration establishes only that the covenants are supported, not that they are reasonable, so each covenant must independently be reasonable.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Neb. Rev. Stat. § 87-502(4).</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Personally Served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This covenant reaches only clients and accounts Employee actually did business with and personally contacted. It does not reach clients Employee never personally served or prospective customers Employer merely hoped to win. This covenant maps directly onto Employer's goodwill in the customer relationships Employee personally served and, together with the confidentiality and trade-secret protections in this agreement, is the more readily enforceable protection than a broad non-compete. The personally served limit is necessary but not sufficient: this covenant is also intended to be reasonable and no greater than necessary.</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specified in Cover Terms for No Business with Covered Customers, Employee must not accept, service, or do business with any Covered Customer, regardless of whether Employee or the Covered Customer first initiated contact. This restriction is broader than non-solicitation because it applies even if the Covered Customer approaches Employee. It is confined to Covered Customers — clients and accounts Employee actually did business with and personally contacted — and is sized tightly to the goodwill it protects.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on behalf of a Competitive Business, solicit, work for, service, or do business with any Covered Customer. This covenant is tied to the customers Employee personally served rather than to a market, territory, or line of business. The parties intend this covenant to be no greater than is reasonably necessary to protect Employer's Protected Interests, to impose no undue hardship on Employee, and to cause no injury to the public. If Employer has identified specific competitors in Cover Terms under Specified Competitors, the parties intend this covenant to be understood as further limited to Employee's activities on behalf of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insofar as that role would enable Employee to solicit, service, or do business with a Covered Customer. This restriction primarily targets active or material ownership in private competitors. Because this covenant restrains active roles at and material participation in a Competitive Business, it is a post-employment restraint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is limited to the patients Employee personally served, and is intended to impose no restraint greater than is reasonably necessary to protect Employer's legitimate interest, no undue hardship on Employee, and no injury to the public, with particular attention to patient access and continuity of care.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covenant from a prior employer.</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notice is limited to the covenants as written and scoped to the customers Employee personally served, and Employer acknowledges that a notice asserting a covenant reaching customers Employee never personally served overstates Employer's position.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extend the Restricted Period for that covenant by one day for each day of the breach, so that the full duration of the restriction runs from the date the breach ends. Any such extension is itself a restraint that must be reasonable and definite in time as written. Accordingly, this extension is a separate, definite term tied to the duration of the breach, and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Nebraska Trade Secrets Act, Neb. Rev. Stat. §§ 87-501 to 87-507, for actual or threatened misappropriation of a trade secret independent of any covenant. Any equitable relief presupposes a covenant that is enforceable as written. This agreement adopts no one-sided fee-shifting provision.</w:t>
      </w:r>
    </w:p>
    <w:p>
      <w:pPr>
        <w:pStyle w:val="OABody"/>
        <w:keepNext/>
        <w:numPr>
          <w:ilvl w:val="0"/>
          <w:numId w:val="1"/>
        </w:numPr>
        <w:spacing w:before="320" w:after="120" w:line="340" w:lineRule="auto"/>
        <w:jc w:val="left"/>
      </w:pPr>
      <w:r>
        <w:rPr>
          <w:b/>
          <w:bCs/>
        </w:rPr>
        <w:t xml:space="preserve">Enforceability, Severability, and No Reformation</w:t>
      </w:r>
    </w:p>
    <w:p>
      <w:pPr>
        <w:pStyle w:val="OABody"/>
        <w:spacing w:before="0" w:after="120" w:line="340" w:lineRule="auto"/>
        <w:ind w:left="720"/>
      </w:pPr>
      <w:r>
        <w:t xml:space="preserve">This agreement does not ask any court to reduce, rewrite, or narrow an overbroad restraint to whatever is reasonable, and the parties do not rely on any savings, reformation, or court-may-modify mechanism to cure overbreadth. Each restrictive covenant in this agreement is instead drafted as a genuinely separate, self-contained unit — with its own scope, its own duration, and its own survival — scoped from the start to the customers Employee personally served, so that each covenant is intended to be enforceable as written and to be able to fall alone. The parties intend the covenants in this agreement to be severable from one another: a court's refusal to enforce one covenant does not affect the others, and the confidentiality and trade-secret obligations and any other separable provisions remain in full force even if a restrictive covenant is found unenforceable.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on its own definite schedule and read on its own. The parties intend this survival to apply covenant by covenant, so that self-contained survival language keeps a court's refusal to enforce one covenant from reaching the others.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include this express assignment and successor language so that a buyer may enforce the covenants. Succession moves the covenant without improving it: any successor's right to enforce a covenant is no greater than Employer's, and each covenant must still be valid as written.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and it names a venue and dispute-resolution forum. Where Employee's services, customers, and competition are centered in Nebraska, the parties acknowledge that Nebraska law is likely to control the enforceability of each restrictive covenant regardless of a contrary selection. A foreign-law selection is therefore treated as a risk variable rather than the enforceability strategy, and each covenant is drafted to satisfy Nebraska law as written.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any amendment widening a covenant — a bigger customer class, a longer period — is judged as written on its new terms, and any amendment records what changed and when.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