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does statutory work in New Mexico: for psychologists, physician assistants, and pharmacists, the health-care practitioner article applies only to agreements, renewals, or extensions executed on or after the effective date of the 2023 act.]</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Timing</w:t>
            </w:r>
          </w:p>
        </w:tc>
        <w:tc>
          <w:tcPr>
            <w:tcW w:w="6480" w:type="dxa"/>
            <w:tcMar>
              <w:top w:w="60" w:type="dxa"/>
              <w:left w:w="0" w:type="dxa"/>
              <w:bottom w:w="60" w:type="dxa"/>
              <w:right w:w="0" w:type="dxa"/>
            </w:tcMar>
          </w:tcPr>
          <w:p>
            <w:r>
              <w:rPr>
                <w:rFonts w:ascii="Arial" w:hAnsi="Arial" w:cs="Arial"/>
                <w:color w:val="1D2021"/>
                <w:sz w:val="22"/>
                <w:szCs w:val="22"/>
              </w:rPr>
              <w:t xml:space="preserve">at the outset of employment as a condition of the offer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rPr>
              <w:t xml:space="preserve">the offer of employment and Employee's access to Employer's Protected Interests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Mexico</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and federal courts located in New Mexico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worked or had material responsibility for Employer during employment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skills, knowledge, training,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capable of protection under New Mexico law — its Trade Secrets, its genuinely Confidential Information, and the goodwill in customer and referral relationships the worker actually held. General skills and knowledge, and customer information that is not peculiar or special, are not Protected Interests, so each restrictive covenant in this agreement is tied to a specific Protected Interest rather than to a naked restraint on Employee's ability to work.</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New Mexico Uniform Trade Secrets Act, NMSA 1978, § 57-3A-2(D), and applicable federal law, meaning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exists to protect an identified Protected Interest, not to restrain Employee's general ability to work. Employee will receive access to Employer's Trade Secrets, Confidential Information, and customer and referral goodwill in the course of employment, and each non-compete and non-solicitation covenant in this agreement is drawn to be reasonable in time, geography, and scope on the facts of this relationship and tied to that Protected Interest. The parties acknowledge that the public has an interest both in avoiding unreasonable restraints on competition and in enforcing freely made contracts, and that general skills and knowledge Employee brings to or develops during employment are not a Protected Interest.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and is entered into at the timing described in Cover Terms under Covenant Timing. The consideration for this agreement is described in Cover Terms under Consideration. Employer and Employee acknowledge that a bare promise of continued at-will employment is an illusory promise that cannot, standing alone, be consideration for a covenant Employee signs after employment has begun, and that an agreement unsupported by consideration is not formed. Accordingly, where Employee signs this agreement as a condition of the initial offer of employment, the offer of employment itself supplies consideration; where Employee signs after employment has begun, the consideration stated in Cover Terms is new, bargained-for consideration exchanged for the covenants and separate from any promise of continued at-will employment.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under NMSA 1978, § 57-3A-2(D). Employee's obligations regarding other Confidential Information continue for the period specified in Cover Terms under Other Confidential Information Duration. This section does not prohibit Employee from using or disclosing information that arises from Employee's general skills, knowledge, training,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using or disclosing information that arises from Employee's general skills, knowledge, training,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acknowledge that this return-and-certification process is part of Employer's reasonable efforts to maintain the secrecy of its Trade Secrets, which the definition of a trade secret requires (NMSA 1978, § 57-3A-2(D)).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If Employee is a covered health-care practitioner under NMSA 1978, § 24A-4-1(B), this covenant runs for one year or less after the last date of employment, which is the only period the health-care practitioner statute preserves for an employee non-solicitation provision (NMSA 1978, § 24A-4-3(C)); any longer stated duration is limited to one year for such a practitioner.</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included solely for the protection of Employer's Protected Interests and is drawn no broader than reasonably necessary to protect those interests, bounded to customers Employee actually served during the covered look-back window rather than to Employer's entire book of business. If Employee is a covered health-care practitioner under NMSA 1978, § 24A-4-1(B), a non-solicitation provision with respect to patients runs for one year or less after the last date of employment (NMSA 1978, § 24A-4-3(C)); any longer stated duration is limited to one year for such a practitioner.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include this covenant only where a genuine Protected Interest supports it, and it is drawn no broader than reasonably necessary to protect that interest. If Employee is a covered health-care practitioner under NMSA 1978, § 24A-4-1(B), any restriction on dealing with patients is limited to one year or less after the last date of employment, consistent with the preserved patient non-solicitation ceiling (NMSA 1978, § 24A-4-3(C)).</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solely for the protection of Employer's Protected Interests, is drawn no broader than reasonably necessary to protect them, and its duration and Restricted Territory are matched to Employee's actual role and territory rather than to Employer's overall footprint. This covenant does not apply to, and is not enforceable against, a covered health-care practitioner to the extent it would restrict the practitioner's right to provide clinical health-care services in New Mexico, as provided in the Health-Care Practitioner Non-Compete Exclusion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New Mexico law; it is therefore included solely for the protection of Employer's Protected Interests, is drawn no broader than reasonably necessary to protect them, and is subject to the Health-Care Practitioner Non-Compete Exclusion section for a covered practitioner.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Practitioner Non-Compete Exclusion and Preserved Provisions</w:t>
      </w:r>
    </w:p>
    <w:p>
      <w:pPr>
        <w:pStyle w:val="OABody"/>
        <w:numPr>
          <w:ilvl w:val="1"/>
          <w:numId w:val="1"/>
        </w:numPr>
        <w:spacing w:before="0" w:after="120" w:line="340" w:lineRule="auto"/>
      </w:pPr>
      <w:r>
        <w:t xml:space="preserve">If Employee is a covered health-care practitioner — meaning a dentist, an osteopathic physician, a physician, a podiatrist, a certified registered nurse anesthetist, a certified nurse practitioner, a certified nurse-midwife, a psychologist, a physician assistant, or a pharmacist (NMSA 1978, § 24A-4-1(B)) — then, notwithstanding any other provision of this agreement, any non-compete provision that restricts Employee's right to provide clinical health-care services in New Mexico is unenforceable upon the termination of this agreement, of a renewal or extension of this agreement, or of Employee's employment with the party seeking to enforce it (NMSA 1978, § 24A-4-2(A)). This exclusion does not apply to an agreement between health-care practitioners who are shareholders, owners, partners, or directors of a health-care practice (NMSA 1978, § 24A-4-5(A)).</w:t>
      </w:r>
    </w:p>
    <w:p>
      <w:pPr>
        <w:pStyle w:val="OABody"/>
        <w:numPr>
          <w:ilvl w:val="1"/>
          <w:numId w:val="1"/>
        </w:numPr>
        <w:spacing w:before="0" w:after="120" w:line="340" w:lineRule="auto"/>
      </w:pPr>
      <w:r>
        <w:t xml:space="preserve">The following provisions of this agreement remain enforceable against a covered health-care practitioner to the extent they satisfy their own statutory limits (NMSA 1978, § 24A-4-3): a nondisclosure provision relating to Confidential Information and Trade Secrets; a non-solicitation provision with respect to patients and employees of the party seeking to enforce this agreement for a period of one year or less after the last date of employment; and, where Employee has worked for Employer for an initial period of less than three years, a provision requiring Employee to repay all or a portion of a loan, relocation expenses, a signing bonus or other remuneration to induce Employee to relocate or establish a health-care practice in a specified geographic area, or recruiting, education, and training expenses. Any liquidated-damages provision in this agreement is enforceable only in an amount that is reasonable at the time this agreement is executed and in light of the anticipated harm and the difficulty of proving the amount of loss (NMSA 1978, § 24A-4-4(A)); an unreasonably large amount operates as an unenforceable penalty.</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If any covenant in this agreement is ancillary to the purchase and sale of a business or its assets, it is drawn around the purchased goodwill — the purchase price, the payout structure, and the seller's role and prominence — rather than around the employment relationship. Any such covenant is entered voluntarily and for consideration, and its time and territory are justified by what the buyer actually paid for.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unenforceable under New Mexico law, including a non-compete the health-care practitioner statute makes unenforceable.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New Mexico law does not clearly authorize extending a restrictive covenant beyond its stated term. Accordingly, the Restricted Period for each covenant runs from the date Employee's employment ends. Any provision extending a Restricted Period during a period of proven breach is a separate restraint that is itself subject to the reasonableness standard and tied to Employer's Protected Interests, and the parties do not assume that a court will add time after the original period expires.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The parties acknowledge that, independent of the covenants in this agreement, actual or threatened misappropriation of Employer's Trade Secrets may be enjoined under the New Mexico Uniform Trade Secrets Act (NMSA 1978, § 57-3A-3(A)). Any fee-shifting between the parties is mutual and prevailing-party based; absent an enforceable fee-shifting provision, each party bears its own attorney fees and costs under the American Rule.</w:t>
      </w:r>
    </w:p>
    <w:p>
      <w:pPr>
        <w:pStyle w:val="OABody"/>
        <w:keepNext/>
        <w:numPr>
          <w:ilvl w:val="0"/>
          <w:numId w:val="1"/>
        </w:numPr>
        <w:spacing w:before="320" w:after="120" w:line="340" w:lineRule="auto"/>
        <w:jc w:val="left"/>
      </w:pPr>
      <w:r>
        <w:rPr>
          <w:b/>
          <w:bCs/>
        </w:rPr>
        <w:t xml:space="preserve">Severability and Reformation</w:t>
      </w:r>
    </w:p>
    <w:p>
      <w:pPr>
        <w:pStyle w:val="OABody"/>
        <w:spacing w:before="0" w:after="120" w:line="340" w:lineRule="auto"/>
        <w:ind w:left="720"/>
      </w:pPr>
      <w:r>
        <w:t xml:space="preserve">If any provision of this agreement is found to be unenforceable, the remaining provisions remain in full force and effect. The parties expressly agree that a court may amend or modify any restrictive covenant found to be unenforceable as written and enforce it to the full extent deemed reasonable and enforceable by the reviewing court, and the parties intend that reformation to be part of their bargain. This clause is not a substitute for drafting each covenant reasonably at the outset, and the parties do not rely on any inherent judicial blue-pencil power to rescue a covenant drawn too broadly.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For a covered health-care practitioner, the surviving patient and employee non-solicitation obligations do not exceed one year after the last date of employment (NMSA 1978, § 24A-4-3(C)).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and disputes are resolved in the forum listed in Cover Terms under Venue, subject to non-waivable rights under applicable law. The parties acknowledge that, for an agreement for clinical health-care services to be rendered in New Mexico, a provision making the agreement subject to the laws of another state or requiring litigation arising out of the agreement to be conducted in another state is void, unenforceable, and against public policy (NMSA 1978, § 24A-4-2(B)); accordingly, for such an agreement, the Governing Law and Venue remain New Mexico. Outside the health-care statute, the parties do not assume that a clause selecting another state's law for a restraint operating in New Mexico controls without an ordinary conflicts-of-law and public-policy analysis.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