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In Rhode Island the execution date fixes which current statutes and figures frame the covenant: the APRN practice-restriction ban took effect June 17, 2024, and the low-wage category is indexed to 250 percent of the federal poverty level for individuals, which changes over time.]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Rhode Island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Rhode Island Statutory Gates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Protected-Category Screen Confirmation</w:t>
            </w:r>
          </w:p>
        </w:tc>
        <w:tc>
          <w:tcPr>
            <w:tcW w:w="6480" w:type="dxa"/>
            <w:tcMar>
              <w:top w:w="60" w:type="dxa"/>
              <w:left w:w="0" w:type="dxa"/>
              <w:bottom w:w="60" w:type="dxa"/>
              <w:right w:w="0" w:type="dxa"/>
            </w:tcMar>
          </w:tcPr>
          <w:p>
            <w:r>
              <w:rPr>
                <w:rFonts w:ascii="Arial" w:hAnsi="Arial" w:cs="Arial"/>
                <w:i/>
                <w:iCs/>
                <w:color w:val="494A4B"/>
                <w:sz w:val="21"/>
                <w:szCs w:val="21"/>
              </w:rPr>
              <w:t xml:space="preserve">Reviewer to confirm the worker is outside every protected category before including a non-compete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Employer's protected legitimate interests actually operate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Passive Public Holdings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 other Confidential Information, confidential customer relationships, and goodwill. Protection from ordinary competition is not a Protected Interest, and each covenant in this agreement identifies the specific interest it serves.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Rhode Island Uniform Trade Secrets Act, R.I. Gen. Laws § 6-41-1(4), and under applicable federal law, including information that derives independent economic value, actual or potential, from not being generally known to, and not being readily ascertainable through proper means by, another person who can obtain economic value from its disclosure or use, and that is the subject of reasonable efforts to maintain its secrecy (see also the federal Defend Trade Secrets Act, 18 U.S.C. § 1839(3)).</w:t>
      </w:r>
    </w:p>
    <w:p>
      <w:pPr>
        <w:pStyle w:val="OABody"/>
        <w:keepNext/>
        <w:numPr>
          <w:ilvl w:val="0"/>
          <w:numId w:val="1"/>
        </w:numPr>
        <w:spacing w:before="320" w:after="120" w:line="340" w:lineRule="auto"/>
        <w:jc w:val="left"/>
      </w:pPr>
      <w:r>
        <w:rPr>
          <w:b/>
          <w:bCs/>
        </w:rPr>
        <w:t xml:space="preserve">Recitals and Legitimate Interest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goodwill with Employer's customers in the course of employment, and each covenant in this agreement is included solely to protect Employer's Protected Interests and is drawn no broader than apparently necessary to protect the party in whose favor it runs. Employer would not provide Employee with access to its Confidential Information and Trade Secrets absent the protections in this agreement. The parties intend each covenant to be drawn within the scope Rhode Island law permits at the outset rather than in reliance on judicial narrowing.</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Employer and Employee acknowledge that the consideration exchanged for the restrictive covenants in this agreement — which may include the offer or continuation of at-will employment together with training, licensure support, access to Confidential Information and Trade Secrets, or other value — is adequate and is exchanged for those covenants, and this agreement records that consideration so the contemporaneous exchange is available if enforcement is later sought. Employee may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is an agreement not to use or disclose Employer's trade-secret information, including after employment ends, and does not prohibit Employee from using information that arises from Employee's general training, knowledge, skill, or experience, whether gained on the job or otherwise, information readily ascertainable to the public, or information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is confined to the Covered Employees class and the Restricted Period.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scoped to Covered Customers over the Covered Customer Period rather than to a geographic territory, is included solely to protect Employer's Protected Interests, and is drawn no broader than apparently necessary to protect them. If Employee is a physician or an advanced practice registered nurse, this covenant does not apply to and is not enforceable against Employee as a restriction of the right to practice protected by R.I. Gen. Laws §§ 5-37-33 / 5-34-50.</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The parties include this covenant only where a genuine Protected Interest supports it, and it is drawn no broader than apparently necessary to protect that interest.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applies, and is enforceable, only if Employee is outside every worker category the Rhode Island Noncompetition Agreement Act protects: it is unenforceable against an employee who is nonexempt under the Fair Labor Standards Act, an undergraduate or graduate student intern, an employee age eighteen or younger, or an employee whose average annual earnings are not more than two hundred fifty percent of the federal poverty level for individuals (R.I. Gen. Laws §§ 28-59-3(a), 28-59-2(7)). This covenant does not apply to and is not enforceable against a physician or an advanced practice registered nurse as a restriction of the right to practice (§§ 5-37-33 / 5-34-50). This covenant is included solely to protect Employer's Protected Interests, is ancillary to a valid relationship, is supported by consideration, and is drawn no broader than apparently necessary to protect that interest. Where Employer can identify its real competitors, the Specified Competitors listed in Cover Terms bound this covenant in place of, or in addition to, the Competitive Business definition.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is subject to the same Rhode Island gates as the non-competition covenant: it does not apply to a protected-category worker, a physician, or an advanced practice registered nurse; it identifies a legitimate interest that protection from the worker's capital alone will not supply; and it is drawn no broader than apparently necessary to protect Employer's Protected Interests.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Physician and APRN Practice Rights</w:t>
      </w:r>
    </w:p>
    <w:p>
      <w:pPr>
        <w:pStyle w:val="OABody"/>
        <w:spacing w:before="0" w:after="120" w:line="340" w:lineRule="auto"/>
        <w:ind w:left="720"/>
      </w:pPr>
      <w:r>
        <w:t xml:space="preserve">If Employee is a physician licensed to practice medicine, any restriction of Employee's right to practice medicine in this agreement is void and unenforceable with respect to that restriction, and the remaining provisions of this agreement stay in effect (R.I. Gen. Laws § 5-37-33). If Employee is an advanced practice registered nurse, any restriction of Employee's right to practice is likewise void and unenforceable with respect to that restriction, and the remaining provisions stay in effect (R.I. Gen. Laws § 5-34-50). For such a provider, this agreement operates only to the extent it does not restrict that right to practice.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Employee's representations in this section include the facts that determine whether a covenant is enforceable against Employee under R.I. Gen. Laws § 28-59-3(a) or void under §§ 5-37-33 / 5-34-50.</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Rhode Island law and Employer has a reasonable belief that Employee may breach that covenant. Employer will not present or attempt to enforce a covenant that is unenforceable against Employee under the Rhode Island Noncompetition Agreement Act or void under §§ 5-37-33 / 5-34-50.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Where Employer's Trade Secrets are threatened, Employer may also seek an injunction against actual or threatened misappropriation under the Rhode Island Uniform Trade Secrets Act (R.I. Gen. Laws § 6-41-2(a)), and the contractual remedies in this agreement survive alongside the statutory ones (§ 6-41-7(b)).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Severability, and Partial Enforcement</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 Consistent with R.I. Gen. Laws § 28-59-3(b), if a non-compete in this agreement is unenforceable against Employee under the Noncompetition Agreement Act, the remainder of this agreement survives.</w:t>
      </w:r>
    </w:p>
    <w:p>
      <w:pPr>
        <w:pStyle w:val="OABody"/>
        <w:keepNext/>
        <w:numPr>
          <w:ilvl w:val="0"/>
          <w:numId w:val="1"/>
        </w:numPr>
        <w:spacing w:before="320" w:after="120" w:line="340" w:lineRule="auto"/>
        <w:jc w:val="left"/>
      </w:pPr>
      <w:r>
        <w:rPr>
          <w:b/>
          <w:bCs/>
        </w:rPr>
        <w:t xml:space="preserve">Partial Enforcement, Not Reliance on Reformation</w:t>
      </w:r>
    </w:p>
    <w:p>
      <w:pPr>
        <w:pStyle w:val="OABody"/>
        <w:spacing w:before="0" w:after="120" w:line="340" w:lineRule="auto"/>
        <w:ind w:left="720"/>
      </w:pPr>
      <w:r>
        <w:t xml:space="preserve">The parties intend that a court may modify and partially enforce any covenant in this agreement. Each restrictive covenant in this agreement is drawn no broader than reasonably necessary at the outset rather than in reliance on judicial narrowing.</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Each covenant survives independently of the others.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Rhode Island-based worker, the parties select Rhode Island law and a Rhode Island forum to keep the enforceability analysis where the covenant's facts sit.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that changes the scope of a restrictive covenant states which covenant version controls.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