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No-Hire</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specialized_training_recital}</w:t>
            </w:r>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{specialized_training_recital}</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 and does not include former customers or merely prospective customers.</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as described by Ala. Code § 8-1-190(b)(1), and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as described by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Protected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Where a covenant relies on specialized and unique training as a Protected Interest, that training and its anticipated expense are set forth in the Specialized Training Recital in Cover Terms as consideration for the restraint.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in writing, signed by all parties, and supported by the consideration stated in it. The parties acknowledge that Employee entered into this agreement on or after the first day of the employer-employee relationship with Employer. Employer has given Employee the opportunity to consult with an attorney before entering into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does not apply to any other employee of Employer.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applies only to Employer's current customers, patients, vendors, referral sources, and business partners, not former or merely prospective ones.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current Covered Customers.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The Restricted Period must not exceed two years after termination. Passive Public Holdings are permitted. This covenant does not restrain a member of a recognized Alabama profession from practicing that profession, as provided by the Professional Practice Carve-Out below.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Nothing in this agreement limits any defense available to Employee in law or equity. Any fee-shifting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Alabama law for an Alabama-based Employee. Disputes will be resolved in Alabama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