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highlight w:val="yellow"/>
        </w:rPr>
        <w:t xml:space="preserve">{customer_nonsolicit_threshold}</w:t>
      </w:r>
      <w:r>
        <w:t xml:space="preserve"> both when this agreement is entered into and when enforcement is sought. This covenant protects Employer's Trade Secrets.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appropriate to protect that interest.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highlight w:val="yellow"/>
        </w:rPr>
        <w:t xml:space="preserve">{highly_compensated_threshold}</w:t>
      </w:r>
      <w:r>
        <w:t xml:space="preserve"> both when this agreement is entered into and when enforcement is sought. This covenant protects Employer's Trade Secrets.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r>
        <w:t xml:space="preserve">{END-IF}</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