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in its customer, vendor, referral-source, and business-partner relationships,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The legitimate interests listed here are Employer's goodwill and Employer's Confidential Information, and the parties intend each covenant to be tied to the goodwill or information this Employee actually touched rather than to ordinary competition. Each covenant is intended to be reasonable in geographic scope and temporal duration and limited to a reasonable scope to protect the Protected Interest it serves.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Employee signs this agreement after employment begins, Employer provides continued employment and any additional value identified in connection with this signing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obligation is scoped to genuinely confidential information and does not operate as a restraint on competition.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a reasonable scope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limited to a reasonable scope to protect Employer's goodwill in those customer, vendor, referral-source, and business-partner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The parties intend this covenant to be reasonable in geographic scope and temporal duration, to advance a legitimate economic interest of Employer, and limited to a reasonable scope to protect Employer's Protected Interests,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limited to a reasonable scope to advance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Employee's right to practice medicine in a particular locale or for a defined period after termination. Employee remains responsible for any agreed damages reasonably related to injury caused by termination, including damages related to competition.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Employee to execute a covenant not to compete with, or pay any fee, charge, or other thing of value to, a supervising licensed home inspector as a condition of satisfying the trainee requirements. This carve-out does not alter the covenants as applied to any other worker.</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is limited to a period no longer than reasonable to protect Employer's Protected Interests.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and nothing in this agreement waives non-waivable restrictions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carrying forward a restrictive covenant must identify the consideration supporting that amendment.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