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t xml:space="preserve">{IF employer_parent_name}</w:t>
            </w:r>
            <w:r>
              <w:rPr>
                <w:rFonts w:ascii="Arial" w:hAnsi="Arial" w:cs="Arial"/>
                <w:b/>
                <w:bCs/>
                <w:color w:val="1D2021"/>
                <w:sz w:val="22"/>
                <w:szCs w:val="22"/>
              </w:rPr>
              <w:t xml:space="preserve">Employer Parent Entity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{employer_parent_name}</w:t>
            </w:r>
            <w:r>
              <w:t xml:space="preserve">{END-IF}</w:t>
            </w:r>
          </w:p>
        </w:tc>
      </w:tr>
      <w:tr>
        <w:tc>
          <w:tcPr>
            <w:tcW w:w="3600" w:type="dxa"/>
            <w:tcMar>
              <w:top w:w="60" w:type="dxa"/>
              <w:left w:w="0" w:type="dxa"/>
              <w:bottom w:w="60" w:type="dxa"/>
              <w:right w:w="0" w:type="dxa"/>
            </w:tcMar>
          </w:tcPr>
          <w:p>
            <w:r>
              <w:t xml:space="preserve">{IF employer_operating_affiliate_name}</w:t>
            </w:r>
            <w:r>
              <w:rPr>
                <w:rFonts w:ascii="Arial" w:hAnsi="Arial" w:cs="Arial"/>
                <w:b/>
                <w:bCs/>
                <w:color w:val="1D2021"/>
                <w:sz w:val="22"/>
                <w:szCs w:val="22"/>
              </w:rPr>
              <w:t xml:space="preserve">Operating / Service-Recipient Affiliate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{employer_operating_affiliate_name}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Covered Employee Garden Leave (CHOICE Act)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 Leave Notice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{garden_leave_notice_duration}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“Affiliates”</w:t>
      </w:r>
      <w: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patients, clients,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patient, and business-partner relationships, customer and patient goodwill, workforce stability, and any extraordinary or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Florida Uniform Trade Secrets Act, Fla. Stat. § 688.002.</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and agree that the restrictive covenants in this agreement are supported by, and appropriate to protect, one or more of Employer's Protected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appropriate to protect these Protected Interests and are limited to the scope needed to do so.</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appropriate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protects Employer's substantial relationships with specific prospective or existing customers, patients, or clients and the associated goodwill.</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and one entity, directly or through related entities, employs or contracts with all physicians practicing Employee's specialty in the county, the non-compete does not apply. This exclusion continues for three years after another entity begins offering that specialty in the county.</w:t>
      </w:r>
    </w:p>
    <w:p>
      <w:r>
        <w:t xml:space="preserve">{END-IF}</w:t>
      </w:r>
    </w:p>
    <w:p>
      <w:pPr>
        <w:pStyle w:val="OABody"/>
        <w:keepNext/>
        <w:numPr>
          <w:ilvl w:val="0"/>
          <w:numId w:val="1"/>
        </w:numPr>
        <w:spacing w:before="320" w:after="120" w:line="340" w:lineRule="auto"/>
        <w:jc w:val="left"/>
      </w:pPr>
      <w:r>
        <w:rPr>
          <w:b/>
          <w:bCs/>
        </w:rPr>
        <w:t xml:space="preserve">CHOICE Act Counsel Advisal and Notice (Covered Employee)</w:t>
      </w:r>
    </w:p>
    <w:p>
      <w:pPr>
        <w:pStyle w:val="OABody"/>
        <w:spacing w:before="0" w:after="120" w:line="340" w:lineRule="auto"/>
        <w:ind w:left="720"/>
      </w:pPr>
      <w: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Body"/>
        <w:keepNext/>
        <w:numPr>
          <w:ilvl w:val="0"/>
          <w:numId w:val="1"/>
        </w:numPr>
        <w:spacing w:before="320" w:after="120" w:line="340" w:lineRule="auto"/>
        <w:jc w:val="left"/>
      </w:pPr>
      <w:r>
        <w:rPr>
          <w:b/>
          <w:bCs/>
        </w:rPr>
        <w:t xml:space="preserve">CHOICE Act Confidential Information Acknowledgement</w:t>
      </w:r>
    </w:p>
    <w:p>
      <w:pPr>
        <w:pStyle w:val="OABody"/>
        <w:spacing w:before="0" w:after="120" w:line="340" w:lineRule="auto"/>
        <w:ind w:left="720"/>
      </w:pPr>
      <w:r>
        <w:t xml:space="preserve">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Protected Interests above.</w:t>
      </w:r>
    </w:p>
    <w:p>
      <w:pPr>
        <w:pStyle w:val="OABody"/>
        <w:keepNext/>
        <w:numPr>
          <w:ilvl w:val="0"/>
          <w:numId w:val="1"/>
        </w:numPr>
        <w:spacing w:before="320" w:after="120" w:line="340" w:lineRule="auto"/>
        <w:jc w:val="left"/>
      </w:pPr>
      <w:r>
        <w:rPr>
          <w:b/>
          <w:bCs/>
        </w:rPr>
        <w:t xml:space="preserve">CHOICE Act Garden Leave and Day-for-Day Offset (Covered Employee)</w:t>
      </w:r>
    </w:p>
    <w:p>
      <w:pPr>
        <w:pStyle w:val="OABody"/>
        <w:spacing w:before="0" w:after="120" w:line="340" w:lineRule="auto"/>
        <w:ind w:left="720"/>
      </w:pPr>
      <w:r>
        <w:t xml:space="preserve">Employer and Employee agree to a garden-leave notice period of </w:t>
      </w:r>
      <w:r>
        <w:rPr>
          <w:highlight w:val="yellow"/>
        </w:rPr>
        <w:t xml:space="preserve">{garden_leave_notice_duration}</w:t>
      </w:r>
      <w:r>
        <w:t xml:space="preserve"> before termination of employment, not exceeding four years. The non-compete Restricted Period is reduced day-for-day by any nonworking portion of that notice period. After the first 90 days, Employee need not provide services and may engage in nonwork activities; Employee may work for another employer during the remainder of the notice period only with Employer's permission.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This agreement is binding on and inures to the benefit of the parties and their respective heirs, successors, third-party beneficiaries,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