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t xml:space="preserve">{IF healthcare_provider}</w:t>
            </w:r>
            <w:r>
              <w:rPr>
                <w:rFonts w:ascii="Arial" w:hAnsi="Arial" w:cs="Arial"/>
                <w:b/>
                <w:bCs/>
                <w:color w:val="1D2021"/>
                <w:sz w:val="22"/>
                <w:szCs w:val="22"/>
              </w:rPr>
              <w:t xml:space="preserve">Healthcare Provider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{healthcare_provider}</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Consideration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Consideration for Restrictive Covenants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{idaho_added_consideration}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 limited so far as possible to the type of employment or line of business Employee actually conducted for Employer.</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goodwill, technologies, intellectual property, business plans, business processes and methods of operation, customers, customer lists, customer contacts and referral sources, vendors and vendor contacts, financial and marketing information, and trade secrets.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an overt act initiated by Employee that entreats, implores, pleads, or petitions a person or entity for the business or relationship at issue, and seeks something in return. Solicit does not include the mere acceptance of business, ordinary communication between Employee and another person, responding to general advertisements, or responding to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Idaho Trade Secrets Act, Idaho Code section 48-801.</w:t>
      </w:r>
    </w:p>
    <w:p>
      <w:pPr>
        <w:pStyle w:val="OABody"/>
        <w:keepNext/>
        <w:numPr>
          <w:ilvl w:val="0"/>
          <w:numId w:val="1"/>
        </w:numPr>
        <w:spacing w:before="320" w:after="120" w:line="340" w:lineRule="auto"/>
        <w:jc w:val="left"/>
      </w:pPr>
      <w:r>
        <w:rPr>
          <w:b/>
          <w:bCs/>
        </w:rPr>
        <w:t xml:space="preserve">Recitals, Key-Worker Status, and Protected Interests</w:t>
      </w:r>
    </w:p>
    <w:p>
      <w:pPr>
        <w:pStyle w:val="OABody"/>
        <w:spacing w:before="0" w:after="120" w:line="340" w:lineRule="auto"/>
        <w:ind w:left="720"/>
      </w:pPr>
      <w:r>
        <w:t xml:space="preserve">Employer and Employee acknowledge that each restrictive covenant in this agreement protects one or more of Employer's Protected Interests. Employee acknowledges that Employee holds a key role and has access to Employer's Protected Interests.</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Employer has advised Employee that Employee may consult with an attorney before entering into this agreement, and Employee confirms having entered this agreement knowingly and voluntarily. In consideration of Employee's employment or continued employment and </w:t>
      </w:r>
      <w:r>
        <w:rPr>
          <w:highlight w:val="yellow"/>
        </w:rPr>
        <w:t xml:space="preserve">{idaho_added_consideration}</w:t>
      </w:r>
      <w:r>
        <w:t xml:space="preserve">, the parties agree to the terms of this agreement. Employee acknowledges that the restrictions in this agreement are appropriate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in Cover Terms, which is intended to last as long as the information remains a trade secret. Employee's obligations regarding other Confidential Information continue for the Other Confidential Information Duration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the National Labor Relations Act and other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prohibit Employee from accepting business initiated by a Covered Customer or from engaging in ordinary communications with a Covered Customer.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employment or a line of business that is in direct competition with Employer's business, within the Restricted Territory, by engaging in, being employed by, consulting for, or having an active ownership interest in any Competitive Business. If any Specified Competitors are listed in Cover Terms, this restriction is limited to those Specified Competitors. The Restricted Territory is limited to the areas where Employee provided services or had a significant presence or influence, and the Competitive Business is limited to the type of employment or line of business Employee conducted for Employer.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protected concerted activity by the National Labor Relations Act.</w:t>
      </w:r>
    </w:p>
    <w:p>
      <w:r>
        <w:t xml:space="preserve">{IF healthcare_provider}</w:t>
      </w:r>
    </w:p>
    <w:p>
      <w:pPr>
        <w:pStyle w:val="OABody"/>
        <w:keepNext/>
        <w:numPr>
          <w:ilvl w:val="0"/>
          <w:numId w:val="1"/>
        </w:numPr>
        <w:spacing w:before="320" w:after="120" w:line="340" w:lineRule="auto"/>
        <w:jc w:val="left"/>
      </w:pPr>
      <w:r>
        <w:rPr>
          <w:b/>
          <w:bCs/>
        </w:rPr>
        <w:t xml:space="preserve">Healthcare Provider and Patient Access</w:t>
      </w:r>
    </w:p>
    <w:p>
      <w:pPr>
        <w:pStyle w:val="OABody"/>
        <w:spacing w:before="0" w:after="120" w:line="340" w:lineRule="auto"/>
        <w:ind w:left="720"/>
      </w:pPr>
      <w:r>
        <w:t xml:space="preserve">Where Employee is a healthcare provider, on Employee's departure the parties will cooperate in good faith on patient notification, continuity of care, and the orderly handling of patient relationships and records consistent with applicable law and professional obligations.</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live restraint from a prior engagement and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an applicable covenant in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Each party bears its own attorney fees and costs unless this agreement or applicable law provides otherwise.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to the extent they relate to trade secrets,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of the Governing Law state listed in Cover Terms. Notwithstanding any other provision, nothing in this agreement requires Employee to litigate or arbitrate outside Idaho or otherwise restricts Employee from enforcing contract rights in Idaho tribunals. Disputes will be resolved in the courts of the State of Idaho,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except that it does not supersede any separate confidentiality, invention-assignment, or trade-secret agreement the parties intend to keep in force. This agreement may be amended only in writing signed by both parties; an amendment that would extend the direct-competition restriction past eighteen months requires consideration in addition to continued employment.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(Idaho)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(Idaho)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(Idaho)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