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near-permanent relationships with customers, patients, and referral sources,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Protected Interests of Employer.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Employee may choose to sign before the 14-day period expires, but Employer has extended the full period. The parties agree that this agreement is supported by adequate consideration — either at least two years of employment after Employee signs this agreement, or </w:t>
      </w:r>
      <w:r>
        <w:rPr>
          <w:highlight w:val="yellow"/>
        </w:rPr>
        <w:t xml:space="preserve">{illinois_consideration}</w:t>
      </w:r>
      <w:r>
        <w:t xml:space="preserve"> — given specifically in exchange for the restrictive covenants in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does not apply if Employee's actual or expected annualized rate of earnings is $45,000 or less.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if Employee's actual or expected annualized rate of earnings is $45,000 or less.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if Employee's actual or expected annualized rate of earnings is $45,000 or less.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Employee's actual or expected annualized rate of earnings is $75,000 or less.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Employee's actual or expected annualized rate of earnings is $75,000 or less. Passive Public Holdings are permitted. The worker exclusions and layoff-compensation condition stated below also apply to this covenant.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Employee working in construction unless Employee primarily performs management, engineering or architectural, design, or sales functions or is an owner. The covenant not to compete does not apply to Employee covered by a collective bargaining agreement governing public or educational labor relations. The applicable covenant does not apply to a nurse or certified nurse aide placed by a nurse agency on a temporary basis, to a broadcast employee subject to a prohibited post-employment geographic or time restraint, or to a licensed mental-health professional providing services to veterans or first responders where the restriction would increase the cost or difficulty of obtaining those services.</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