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Maryland the execution date sorts the covenant into a regime: the health-care void and the high-earner clinician cap reach only agreements executed on or after July 1, 2025, and the architect category reaches only agreements executed on or after October 1, 2026, while the veterinary ban reaches backward to existing agreements.]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Maryland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built customer relationships or used protected information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by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