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Minnesota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Minnesota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customers, clients,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or entity for the purpose of diverting business or employment away from Employer. Solicit does not include passively receiving an inquiry that Employee did not initiate, responding to a general advertisement or an unsolicited approach, or continuing to serve a Covered Customer who follows Employee without any initiating contact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This agreement contains confidentiality, company-property, non-disparagement, and defined non-solicitation obligations and no covenant prohibiting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These obligations do not prohibit Employee from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for the purpose of diverting that business away from Employer. This covenant does not prohibit Employee from working for a competitor, competing with Employer generally, or doing business with a customer who is not a Covered Customer.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 competitor.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other lawful obligations under this agreement to any prospective employer or business associate of Employee if Employer has a reasonable belief that Employee may breach those lawful obligations. Any such disclosure is limited to Employee's lawful obligations under this agreement and does not extend to any covenant not to compete.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Injunctive relief is available only to enforce obligations that are enforceable by Minnesota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a separate obligation.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by Minnesota law to the assignee; it does not enlarge them.</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 Employee who primarily resides and works in Minnesota may bring any claim arising under this agreement in Minnesota, and Minnesota law governs any controversy arising in Minnesota.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no amendment may add a covenant not to compete that is void under Minn. Stat. § 181.988.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(Minnesota)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