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Carolina</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and built customer relationships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defined by reference to the duties the employee actually performed rather than every line of the employer's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existing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is supported by valuable consideration and protects Employer's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If this agreement is signed at the outset of employment, the offer and commencement of employment is the consideration for the covenants. If Employee signs after employment has begun, the new consideration stated in Cover Terms under Mid-Employment Consideration is exchanged for the covenants.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and any amendment changing its scope must be in writing and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This covenant does not reach prospective clients Employer never obtained.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distinctly severable provision is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indefinitely to the extent they relate to trade secrets.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Carolina law governs this agreement, and the state and federal courts located in North Carolina have exclusive jurisdiction over disputes arising from it, subject to non-waivable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