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highlight w:val="yellow"/>
        </w:rPr>
        <w:t xml:space="preserve">{covered_customer_period}</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this agreement.</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the restrictive covenants protect Employer's Protected Interests and are limited by their stated scope, territory, and duration.</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Employee agrees to these covenants in exchange for employment, compensation, and access to Employer's Confidential Information. Employee acknowledges having had the opportunity to consult an attorney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 This covenant prohibits only affirmative solicitation and does not prohibit Employee from accepting, servicing, or selling to a customer who contacts Employee without solicitation. The Restricted Period does not exceed two years after termination.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any Competitive Business within the Restricted Territory while Employer continues to carry on a like business there. This covenant lasts no more than two years after termination.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is subject to the same Restricted Territory, like-business condition, and Restricted Period as the Non-Competition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The post-employment restrictions do not restrict Employee from providing professional services within Employee's applicable licensed scope of practice. This exclusion does not apply to a restriction arising from the sale of a practice or to a permitted restriction on soliciting current patients or clients.</w:t>
      </w:r>
    </w:p>
    <w:p>
      <w:r>
        <w:t xml:space="preserve">{END-IF}</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use, and this agreement does not incorporate, any no-hire, no-solicit, or no-recruit clause in any agreement between Employer and a customer, vendor, or other third party as a means of restraining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No extension may cause the Restricted Period to continue for more than two years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pursue remedies for trade-secret misappropriation available under applicable law.</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If any provision is unenforceable, it will be enforced to the maximum extent permitted by law, and the remaining provisions will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