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mid_employment_consideration}</w:t>
            </w:r>
            <w:r>
              <w:rPr>
                <w:rFonts w:ascii="Arial" w:hAnsi="Arial" w:cs="Arial"/>
                <w:b/>
                <w:bCs/>
                <w:color w:val="1D2021"/>
                <w:sz w:val="22"/>
                <w:szCs w:val="22"/>
              </w:rPr>
              <w:t xml:space="preserve">New Consideration (if signed after hire)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{mid_employment_consideration}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Sale-of-Business Covenant</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{sale_of_business_covenant}</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Trade Secrets and other Confidential Information, its customer lists, its customer goodwill, and any unusual training in which Employer has invested, and does not include Employee's general knowledge, skill, and experience.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other Confidential Information and will develop customer relationships and goodwill on Employer's behalf. Each covenant protects those Protected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offer and commencement of employment is the consideration for the covenants. If this agreement is signed after Employee's employment has begun, the consideration for the covenants is the new value stated in Cover Terms under New Consideration (if signed after hire).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operates alongside, and independent of, the restrictive covenants in this agreement, and it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responding to a subpoena, court order, or lawful demand of a government agency, with notice to Employer where permitted by law;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or for whom Employee had responsibility. This covenant does not bar Employee from working in Employee's field or from engaging in business generally.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or for whom Employee had responsibility, regardless of who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not to restrain ordinary competition, and is limited to the Competitive Business and Restricted Territory stated in Cover Terms. Where Cover Terms list Specified Competitors, this covenant is limited to those named competitors. If Cover Terms indicate this covenant is a Sale-of-Business Covenant, it is given by Employee in connection with Employee's sale of a business or practice to Employer and is supported by the consideration paid in that transaction.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below the threshold stated in Cover Terms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not to compete is limited to one year and thirty road miles from Employee's primary place of practice with Employer and does not apply if Employer terminates Employee's employment. These limitations do not apply to a covenant Employee gives in connection with the sale of Employee's business or practice or to a covenant among physicians who are owners of a health care practice.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equitably extended by the period of the breach. Any extension is limited to the period of the breach, and no extension enlarges any physician covenant beyond the limits stated in the Physician and Health Care Practitioner Covenants section.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