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employer_parent_name}Employer Parent Entity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{employer_parent_name}{END-IF}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employer_operating_affiliate_name}Operating / Service-Recipient Affiliate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{employer_operating_affiliate_name}{END-IF}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garden_leave_included}Covered Employee Garden Leave (CHOICE Act)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garden_leave_included}</w:t>
            </w:r>
          </w:p>
          <w:p>
            <w:pPr>
              <w:pStyle w:val="Normal"/>
              <w:spacing w:after="0" w:before="0" w:line="340"/>
            </w:pPr>
            <w:r>
              <w:rPr>
                <w:rFonts w:ascii="Arial" w:cs="Arial" w:eastAsia="Arial" w:hAnsi="Arial"/>
                <w:b w:val="false"/>
                <w:bCs w:val="false"/>
                <w:i/>
                <w:iCs/>
                <w:color w:val="494A4B"/>
                <w:sz w:val="20"/>
                <w:szCs w:val="20"/>
              </w:rPr>
              <w:t xml:space="preserve">Garden Leave Notice Period</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{garden_leave_notice_duration}{END-IF}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“Affiliates”</w:t>
      </w:r>
      <w:r>
        <w:rPr>
          <w:rFonts w:ascii="Arial" w:cs="Arial" w:eastAsia="Arial" w:hAnsi="Arial"/>
          <w:color w:val="1D2021"/>
          <w:sz w:val="22"/>
          <w:szCs w:val="22"/>
        </w:rP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patients, clients,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“Legitimate Business Interests”</w:t>
      </w:r>
      <w:r>
        <w:rPr>
          <w:rFonts w:ascii="Arial" w:cs="Arial" w:eastAsia="Arial" w:hAnsi="Arial"/>
          <w:color w:val="1D2021"/>
          <w:sz w:val="22"/>
          <w:szCs w:val="22"/>
        </w:rP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1.11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1.12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the Florida Uniform Trade Secrets Act, Fla. Stat. § 688.002.</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Recitals and Legitimate Business Interest.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Non-Solicitation of Customers, Patients,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CHOICE Act Counsel Advisal and Notice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 before signing: the written right-to-counsel advisal and at least 7-day advance notice were actually given before signing; see https://www.flsenate.gov/Laws/Statutes/2025/542.45]</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CHOICE Act Confidential Information Acknowledgement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covered_employee}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is a covered employee under the Florida Contracts Honoring Opportunity, Investment, Confidentiality, and Economic Growth (CHOICE) Act, Fla. Stat. §§ 542.41–542.45. 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!covered_employee}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CHOICE Act Garden Leave and Day-for-Day Offset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garden_leave_included}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includes a covered garden leave agreement within the meaning of Fla. Stat. § 542.43(5), under which Employer and Employee agree to a garden-leave notice period of {garden_leave_notice_duration} before the termination of employment, which may not exceed four years (Fla. Stat. § 542.43(5)). The non-compete Restricted Period is reduced day-for-day by any nonworking portion of the garden-leave notice period, pursuant to Fla. Stat. § 542.45(2)(c). After the first 90 days of the notice period, Employee need not provide services to Employer and may engage in nonwork activities during the remainder of the notice period; Employee may work for another employer during the remainder of the notice period only with Employer's permission, as provided in Fla. Stat. § 542.44(2)(c). The counsel-advisal, seven-day-notice, and written confidential-information-acknowledgement requirements of Fla. Stat. § 542.44(2)–(3) apply to this garden leave agreement; the corresponding provisions of this agreement (the CHOICE Act Counsel Advisal and Notice provision, if included, and the CHOICE Act Confidential Information Acknowledgement provision) are intended to address them.</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!garden_leave_included}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Enforceability, Severability, and Reformation.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22.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23.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as required by Fla. Stat. § 542.335(1)(f)1. This agreement is binding on and inures to the benefit of the parties and their respective heirs, successors, third-party beneficiaries,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24.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25.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theme" Target="theme/theme1.xml"/><Relationship Id="rId15"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2026-06-07T03:16:53.807Z</dcterms:created>
  <dcterms:modified xsi:type="dcterms:W3CDTF">2026-06-07T03:16:53.807Z</dcterms:modified>
</cp:coreProperties>
</file>

<file path=docProps/custom.xml><?xml version="1.0" encoding="utf-8"?>
<Properties xmlns="http://schemas.openxmlformats.org/officeDocument/2006/custom-properties" xmlns:vt="http://schemas.openxmlformats.org/officeDocument/2006/docPropsVTypes"/>
</file>