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10" w:before="240"/>
      </w:pPr>
      <w:r>
        <w:rPr>
          <w:rFonts w:ascii="Georgia" w:cs="Georgia" w:eastAsia="Georgia" w:hAnsi="Georgia"/>
          <w:color w:val="1D2021"/>
          <w:sz w:val="44"/>
          <w:szCs w:val="44"/>
        </w:rPr>
        <w:t xml:space="preserve">Employee Restrictive Covenant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terms below are incorporated into and form part of this agreement.</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{IF employee_title}Employee Title / Position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employee_nonsolicit_included}Employee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employee_nonsolicit_included}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customer_nonsolicit_included}Customer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customer_nonsolicit_included}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Restricted Territory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Competitive Business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Specified Competitors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nondealing_included}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noninvestment_included}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vendors, referral sources, and business partners with whom Employee had material contact or for whom Employee had responsibility during the {covered_customer_period}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and business-partner relationships, workforce stability, and goodwill.</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Wyo. Stat. § 6-3-501(a)(xi).</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Timing and Employee Acknowledgements.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Confidential Information and Trade Secret Protection.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Wyoming law, including Wyo. Stat. § 6-3-501(a)(xi).</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Permitted Disclosures and Protected Conduct.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Return, Deletion, and Certification of Company Property.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Non-Solicitation of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Non-Solicitation of Customers, Vendors, Referral Sources, and Business Partners.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Practitioner sources flag uncertainty about whether Wyo. Stat. § 1-23-108 could reach certain non-solicitation provisions depending on how they function.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 Business with Covered Customers.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If the Cover Terms indicate that this restriction applies, it requires a lawful restriction pathway under Wyo. Stat. § 1-23-108.</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Non-Competition.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included only because the restriction pathway specified by Employer supports its enforceability under Wyo. Stat. § 1-23-108. Passive Public Holdings are permitted.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Non-Investment.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This covenant requires a lawful restriction pathway under Wyo. Stat. § 1-23-108.</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Non-Disparagement.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Physician-Specific Rights and Notices.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then notwithstanding any other provision of this agreement, Wyo. Stat. § 1-23-108(b) preserves other enforceable provisions of this agreement even if a non-compete provision is void. A physician Employee with patients diagnosed with rare disorders (as defined by the National Organization for Rare Disorders) may notify those patients of their new practice location without liability under this agreement.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14. Notice to Future Employers and Other Third Parties.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15. Tolling During Breach.</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16. Remedies.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 Employer does not ask any court to modify, reform, or rewrite any provision of this agreement.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17. Enforceability, Severability, and No Reformation Request.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Hassler v. Circle C Resources, 2022 WY 28, Employer acknowledges that Wyoming courts may decline to reform overbroad restrictive covenants and may instead void them entirely. Accordingly, this agreement does not include a reformation clause and does not request that any court rewrite its terms. Each restrictive covenant in this agreement is intended to be independently enforceable.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18. Survival and Expiration of Each Covenant.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19. Assignment and Successors.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20. Governing Law, Venue, and Dispute Process.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Wyo. Stat. § 1-23-108 for contracts entered into on or after July 1, 2025. Disputes will be resolved in the courts of the Governing Law state, subject to non-waivable rights under applicable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21. Entire Agreement, Amendment, Waiver, and Electronic Signatures.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9"/>
          <w:footerReference w:type="default" r:id="rId10"/>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16"/>
          <w:szCs w:val="16"/>
        </w:rPr>
        <w:t xml:space="preserve">By signing this agreement, each party acknowledges and agrees to the restrictive covenant obligations above. Employee confirms having read and understood each provision, including the Cover Terms.</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EMPLOYER</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{employer_name}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after="0" w:before="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0" w:before="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2026-04-28T21:50:54.070Z</dcterms:created>
  <dcterms:modified xsi:type="dcterms:W3CDTF">2026-04-28T21:50:54.070Z</dcterms:modified>
</cp:coreProperties>
</file>

<file path=docProps/custom.xml><?xml version="1.0" encoding="utf-8"?>
<Properties xmlns="http://schemas.openxmlformats.org/officeDocument/2006/custom-properties" xmlns:vt="http://schemas.openxmlformats.org/officeDocument/2006/docPropsVTypes"/>
</file>