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Employer Parent Entity</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Operating / Service-Recipient Affiliate</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Florida</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rPr>
              <w:t xml:space="preserve">the geographic area in which Employee provided services</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494A4B"/>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Covered Employee Garden Leave (CHOICE Act)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Garden Leave Notice Period</w:t>
            </w:r>
          </w:p>
        </w:tc>
        <w:tc>
          <w:tcPr>
            <w:tcW w:w="6480" w:type="dxa"/>
            <w:tcMar>
              <w:top w:w="60" w:type="dxa"/>
              <w:left w:w="0" w:type="dxa"/>
              <w:bottom w:w="60" w:type="dxa"/>
              <w:right w:w="0" w:type="dxa"/>
            </w:tcMar>
          </w:tcPr>
          <w:p>
            <w:r>
              <w:rPr>
                <w:rFonts w:ascii="Arial" w:hAnsi="Arial" w:cs="Arial"/>
                <w:i/>
                <w:iCs/>
                <w:color w:val="494A4B"/>
                <w:sz w:val="21"/>
                <w:szCs w:val="21"/>
              </w:rPr>
              <w:t xml:space="preserve">6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keepNext/>
        <w:numPr>
          <w:ilvl w:val="0"/>
          <w:numId w:val="1"/>
        </w:numPr>
        <w:spacing w:before="320" w:after="120" w:line="340" w:lineRule="auto"/>
      </w:pPr>
      <w:r>
        <w:rPr>
          <w:b/>
          <w:bCs/>
        </w:rPr>
        <w:t xml:space="preserve">Defined Terms</w:t>
      </w:r>
    </w:p>
    <w:p>
      <w:pPr>
        <w:numPr>
          <w:ilvl w:val="1"/>
          <w:numId w:val="1"/>
        </w:numPr>
        <w:spacing w:before="0" w:after="120" w:line="340" w:lineRule="auto"/>
      </w:pPr>
      <w:r>
        <w:rPr>
          <w:b/>
          <w:bCs/>
          <w:color w:val="117086"/>
        </w:rPr>
        <w:t xml:space="preserve">“Affiliates”</w:t>
      </w:r>
      <w:r>
        <w:t xml:space="preserve"> means, with respect to Employer, any entity that directly or indirectly controls, is controlled by, or is under common control with Employer, including Employer's direct and indirect parent entities, subsidiaries, and any sister or operating entity under common control (for example, where the named Employer is a dedicated employment entity and the operating business is conducted through a commonly controlled affiliate). For this purpose, "control" means the power to direct the management and policies of an entity, whether through ownership of voting securities, by contract, or otherwise.</w:t>
      </w:r>
    </w:p>
    <w:p>
      <w:pPr>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numPr>
          <w:ilvl w:val="1"/>
          <w:numId w:val="1"/>
        </w:numPr>
        <w:spacing w:before="0" w:after="120" w:line="340" w:lineRule="auto"/>
      </w:pPr>
      <w:r>
        <w:rPr>
          <w:b/>
          <w:bCs/>
          <w:color w:val="117086"/>
        </w:rPr>
        <w:t xml:space="preserve">“Covered Customers”</w:t>
      </w:r>
      <w:r>
        <w:t xml:space="preserve"> means customers, patients, clients, vendors, referral sources, and business partners with whom Employee had material contact or for whom Employee had responsibility during the </w:t>
      </w:r>
      <w:r>
        <w:rPr>
          <w:b w:val="0"/>
          <w:bCs w:val="0"/>
        </w:rPr>
        <w:t xml:space="preserve">12 months</w:t>
      </w:r>
      <w:r>
        <w:t xml:space="preserve"> before termination of employment.</w:t>
      </w:r>
    </w:p>
    <w:p>
      <w:pPr>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numPr>
          <w:ilvl w:val="1"/>
          <w:numId w:val="1"/>
        </w:numPr>
        <w:spacing w:before="0" w:after="120" w:line="340" w:lineRule="auto"/>
      </w:pPr>
      <w:r>
        <w:rPr>
          <w:b/>
          <w:bCs/>
          <w:color w:val="117086"/>
        </w:rPr>
        <w:t xml:space="preserve">“Legitimate Business Interests”</w:t>
      </w:r>
      <w:r>
        <w:t xml:space="preserve"> means one or more of the interests enumerated in Fla. Stat. § 542.335(1)(b), including Employer's trade secrets; valuable confidential business or professional information that does not otherwise qualify as a trade secret; substantial relationships with specific prospective or existing customers, patients, or clients; customer, patient, or client goodwill associated with Employer's ongoing business or professional practice, a specific geographic location, or a specific marketing or trade area; and extraordinary or specialized training provided to Employee.</w:t>
      </w:r>
    </w:p>
    <w:p>
      <w:pPr>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numPr>
          <w:ilvl w:val="1"/>
          <w:numId w:val="1"/>
        </w:numPr>
        <w:spacing w:before="0" w:after="120" w:line="340" w:lineRule="auto"/>
      </w:pPr>
      <w:r>
        <w:rPr>
          <w:b/>
          <w:bCs/>
          <w:color w:val="117086"/>
        </w:rPr>
        <w:t xml:space="preserve">“Protected Interests”</w:t>
      </w:r>
      <w:r>
        <w:t xml:space="preserve"> means Employer's Legitimate Business Interests in its Confidential Information, customer, patient, and business-partner relationships, customer and patient goodwill, workforce stability, and any extraordinary or specialized training provided to Employee.</w:t>
      </w:r>
    </w:p>
    <w:p>
      <w:pPr>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numPr>
          <w:ilvl w:val="1"/>
          <w:numId w:val="1"/>
        </w:numPr>
        <w:spacing w:before="0" w:after="120" w:line="340" w:lineRule="auto"/>
      </w:pPr>
      <w:r>
        <w:rPr>
          <w:b/>
          <w:bCs/>
          <w:color w:val="117086"/>
        </w:rPr>
        <w:t xml:space="preserve">“Trade Secrets”</w:t>
      </w:r>
      <w:r>
        <w:t xml:space="preserve"> has the meaning given in the Florida Uniform Trade Secrets Act, Fla. Stat. § 688.002.</w:t>
      </w:r>
    </w:p>
    <w:p>
      <w:pPr>
        <w:keepNext/>
        <w:numPr>
          <w:ilvl w:val="0"/>
          <w:numId w:val="1"/>
        </w:numPr>
        <w:spacing w:before="320" w:after="120" w:line="340" w:lineRule="auto"/>
      </w:pPr>
      <w:r>
        <w:rPr>
          <w:b/>
          <w:bCs/>
        </w:rPr>
        <w:t xml:space="preserve">Recitals and Legitimate Business Interest</w:t>
      </w:r>
    </w:p>
    <w:p>
      <w:pPr>
        <w:pStyle w:val="OABody"/>
        <w:spacing w:before="0" w:after="120" w:line="340" w:lineRule="auto"/>
        <w:ind w:left="720"/>
      </w:pPr>
      <w:r>
        <w:t xml:space="preserve">Employer and Employee acknowledge and agree that the restrictive covenants in this agreement are supported by, and reasonably necessary to protect, one or more of Employer's Legitimate Business Interests under Fla. Stat. § 542.335(1)(b), including, as applicable: (a) Employer's trade secrets; (b) Employer's valuable confidential business or professional information that does not otherwise qualify as a trade secret; (c) Employer's substantial relationships with specific prospective or existing customers, patients, or clients; (d) the customer, patient, or client goodwill associated with Employer's ongoing business or professional practice, a specific geographic location, or a specific marketing or trade area; and (e) the extraordinary or specialized training Employer provides to Employee. Employer would not provide Employee with access to these Protected Interests absent the protections in this agreement. The restraints in this agreement are reasonably necessary to protect these Protected Interests and are no broader than necessary to do so.</w:t>
      </w:r>
    </w:p>
    <w:p>
      <w:pPr>
        <w:keepNext/>
        <w:numPr>
          <w:ilvl w:val="0"/>
          <w:numId w:val="1"/>
        </w:numPr>
        <w:spacing w:before="320" w:after="120" w:line="340" w:lineRule="auto"/>
      </w:pPr>
      <w:r>
        <w:rPr>
          <w:b/>
          <w:bCs/>
        </w:rPr>
        <w:t xml:space="preserve">Timing and Employee Acknowledgements</w:t>
      </w:r>
    </w:p>
    <w:p>
      <w:pPr>
        <w:pStyle w:val="OABody"/>
        <w:spacing w:before="0" w:after="120" w:line="340" w:lineRule="auto"/>
        <w:ind w:left="720"/>
      </w:pPr>
      <w:r>
        <w:t xml:space="preserve">Employee acknowledges that the restrictions in this agreement are reasonable and necessary to protect Employer's Protected Interests. Employee acknowledges having had the opportunity to consult with independent legal counsel before signing this agreement. This agreement is effective as of the Effective Date listed in Cover Terms.</w:t>
      </w:r>
    </w:p>
    <w:p>
      <w:pPr>
        <w:keepNext/>
        <w:numPr>
          <w:ilvl w:val="0"/>
          <w:numId w:val="1"/>
        </w:numPr>
        <w:spacing w:before="320" w:after="120" w:line="340" w:lineRule="auto"/>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Employee's obligations regarding other Confidential Information continue for the period specified in Cover Terms. Trade secrets are protected under Florida law, including the Florida Uniform Trade Secrets Act, Fla. Stat. §§ 688.001–688.009.</w:t>
      </w:r>
    </w:p>
    <w:p>
      <w:pPr>
        <w:keepNext/>
        <w:numPr>
          <w:ilvl w:val="0"/>
          <w:numId w:val="1"/>
        </w:numPr>
        <w:spacing w:before="320" w:after="120" w:line="340" w:lineRule="auto"/>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keepNext/>
        <w:numPr>
          <w:ilvl w:val="0"/>
          <w:numId w:val="1"/>
        </w:numPr>
        <w:spacing w:before="320" w:after="120" w:line="340" w:lineRule="auto"/>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keepNext/>
        <w:numPr>
          <w:ilvl w:val="0"/>
          <w:numId w:val="1"/>
        </w:numPr>
        <w:spacing w:before="320" w:after="120" w:line="340" w:lineRule="auto"/>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pPr>
        <w:keepNext/>
        <w:numPr>
          <w:ilvl w:val="0"/>
          <w:numId w:val="1"/>
        </w:numPr>
        <w:spacing w:before="320" w:after="120" w:line="340" w:lineRule="auto"/>
      </w:pPr>
      <w:r>
        <w:rPr>
          <w:b/>
          <w:bCs/>
        </w:rPr>
        <w:t xml:space="preserve">Non-Solicitation of Customers, Patients,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is intended to protect Employer's substantial relationships with specific prospective or existing customers, patients, or clients and the associated goodwill, which are Legitimate Business Interests under Fla. Stat. § 542.335(1)(b).</w:t>
      </w:r>
    </w:p>
    <w:p>
      <w:pPr>
        <w:keepNext/>
        <w:numPr>
          <w:ilvl w:val="0"/>
          <w:numId w:val="1"/>
        </w:numPr>
        <w:spacing w:before="320" w:after="120" w:line="340" w:lineRule="auto"/>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 This restriction is broader than non-solicitation because it applies even if the Covered Customer approaches Employee. It is intended to protect Employer's substantial relationships with specific prospective or existing customers, patients, or clients and the associated goodwill, which are Legitimate Business Interests under Fla. Stat. § 542.335(1)(b).</w:t>
      </w:r>
    </w:p>
    <w:p>
      <w:pPr>
        <w:keepNext/>
        <w:numPr>
          <w:ilvl w:val="0"/>
          <w:numId w:val="1"/>
        </w:numPr>
        <w:spacing w:before="320" w:after="120" w:line="340" w:lineRule="auto"/>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is reasonably necessary to protect Employer's Legitimate Business Interests under Fla. Stat. § 542.335(1)(b), and its duration is intended to fall within the presumptively reasonable window under Fla. Stat. § 542.335(1)(d)–(e) for the applicable relationship. Passive Public Holdings are permitted.</w:t>
      </w:r>
    </w:p>
    <w:p>
      <w:pPr>
        <w:keepNext/>
        <w:numPr>
          <w:ilvl w:val="0"/>
          <w:numId w:val="1"/>
        </w:numPr>
        <w:spacing w:before="320" w:after="120" w:line="340" w:lineRule="auto"/>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This restriction primarily targets active or material ownership in private competitors. Passive Public Holdings are permitted.</w:t>
      </w:r>
    </w:p>
    <w:p>
      <w:pPr>
        <w:keepNext/>
        <w:numPr>
          <w:ilvl w:val="0"/>
          <w:numId w:val="1"/>
        </w:numPr>
        <w:spacing w:before="320" w:after="120" w:line="340" w:lineRule="auto"/>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w:t>
      </w:r>
    </w:p>
    <w:p>
      <w:pPr>
        <w:keepNext/>
        <w:numPr>
          <w:ilvl w:val="0"/>
          <w:numId w:val="1"/>
        </w:numPr>
        <w:spacing w:before="320" w:after="120" w:line="340" w:lineRule="auto"/>
      </w:pPr>
      <w:r>
        <w:rPr>
          <w:b/>
          <w:bCs/>
        </w:rPr>
        <w:t xml:space="preserve">Physician-Specific Rights and Notices</w:t>
      </w:r>
    </w:p>
    <w:p>
      <w:pPr>
        <w:pStyle w:val="OABody"/>
        <w:spacing w:before="0" w:after="120" w:line="340" w:lineRule="auto"/>
        <w:ind w:left="720"/>
      </w:pPr>
      <w:r>
        <w:t xml:space="preserve">If Employee is a physician licensed under chapter 458 or chapter 459 of the Florida Statutes, then notwithstanding any other provision of this agreement, the non-compete restrictions in this agreement do not apply, and are void and unenforceable, to the extent that Fla. Stat. § 542.336 so provides. Under Fla. Stat. § 542.336, a restrictive covenant is void and unenforceable against such a physician who practices a medical specialty in a county where one entity (directly or through one or more related or affiliated entities) employs or contracts with all physicians who practice that specialty in that county, and the covenant remains void for three years after a second entity that employs or contracts with one or more physicians who practice that specialty begins offering that specialty in that county. Nothing in this agreement may be construed to restrict a physician Employee in violation of Fla. Stat. § 542.336.</w:t>
      </w:r>
    </w:p>
    <w:p>
      <w:pPr>
        <w:keepNext/>
        <w:numPr>
          <w:ilvl w:val="0"/>
          <w:numId w:val="1"/>
        </w:numPr>
        <w:spacing w:before="320" w:after="120" w:line="340" w:lineRule="auto"/>
      </w:pPr>
      <w:r>
        <w:rPr>
          <w:b/>
          <w:bCs/>
        </w:rPr>
        <w:t xml:space="preserve">CHOICE Act Counsel Advisal and Notice (Covered Employee)</w:t>
      </w:r>
    </w:p>
    <w:p>
      <w:pPr>
        <w:pStyle w:val="OABody"/>
        <w:spacing w:before="0" w:after="120" w:line="340" w:lineRule="auto"/>
        <w:ind w:left="720"/>
      </w:pPr>
      <w:r>
        <w:t xml:space="preserve">Employer advised Employee, in writing, of the right to seek the advice of independent legal counsel before executing this agreement, and Employee acknowledges receiving that written advisal, in satisfaction of Fla. Stat. § 542.45(2)(a). Employer provided Employee with this proposed agreement at least seven days before the offer of employment was to expire (for a prospective covered employee) or at least seven days before the offer to enter into this agreement was to expire (for a current covered employee), in satisfaction of the notice requirement of Fla. Stat. § 542.45(3).</w:t>
      </w:r>
    </w:p>
    <w:p>
      <w:pPr>
        <w:keepNext/>
        <w:numPr>
          <w:ilvl w:val="0"/>
          <w:numId w:val="1"/>
        </w:numPr>
        <w:spacing w:before="320" w:after="120" w:line="340" w:lineRule="auto"/>
      </w:pPr>
      <w:r>
        <w:rPr>
          <w:b/>
          <w:bCs/>
        </w:rPr>
        <w:t xml:space="preserve">CHOICE Act Confidential Information Acknowledgement (Covered Employee)</w:t>
      </w:r>
    </w:p>
    <w:p>
      <w:pPr>
        <w:pStyle w:val="OABody"/>
        <w:spacing w:before="0" w:after="120" w:line="340" w:lineRule="auto"/>
        <w:ind w:left="720"/>
      </w:pPr>
      <w:r>
        <w:t xml:space="preserve">Employee is a covered employee under the Florida Contracts Honoring Opportunity, Investment, Confidentiality, and Economic Growth (CHOICE) Act, Fla. Stat. §§ 542.41–542.45. Employee acknowledges in writing that, in the course of Employee's employment with Employer, Employee will receive confidential information or customer relationships, in satisfaction of Fla. Stat. § 542.45(2)(b). This acknowledgement is in addition to, and does not limit, the recital of Employer's Legitimate Business Interests above.</w:t>
      </w:r>
    </w:p>
    <w:p>
      <w:pPr>
        <w:keepNext/>
        <w:numPr>
          <w:ilvl w:val="0"/>
          <w:numId w:val="1"/>
        </w:numPr>
        <w:spacing w:before="320" w:after="120" w:line="340" w:lineRule="auto"/>
      </w:pPr>
      <w:r>
        <w:rPr>
          <w:b/>
          <w:bCs/>
        </w:rPr>
        <w:t xml:space="preserve">CHOICE Act Garden Leave and Day-for-Day Offset (Covered Employee)</w:t>
      </w:r>
    </w:p>
    <w:p>
      <w:pPr>
        <w:pStyle w:val="OABody"/>
        <w:spacing w:before="0" w:after="120" w:line="340" w:lineRule="auto"/>
        <w:ind w:left="720"/>
      </w:pPr>
      <w:r>
        <w:t xml:space="preserve">This agreement includes a covered garden leave agreement within the meaning of Fla. Stat. § 542.43(5), under which Employer and Employee agree to a garden-leave notice period of </w:t>
      </w:r>
      <w:r>
        <w:rPr>
          <w:b w:val="0"/>
          <w:bCs w:val="0"/>
        </w:rPr>
        <w:t xml:space="preserve">6 months</w:t>
      </w:r>
      <w:r>
        <w:t xml:space="preserve"> before the termination of employment, which may not exceed four years (Fla. Stat. § 542.43(5)). The non-compete Restricted Period is reduced day-for-day by any nonworking portion of the garden-leave notice period, pursuant to Fla. Stat. § 542.45(2)(c). After the first 90 days of the notice period, Employee need not provide services to Employer and may engage in nonwork activities during the remainder of the notice period; Employee may work for another employer during the remainder of the notice period only with Employer's permission, as provided in Fla. Stat. § 542.44(2)(c). The counsel-advisal, seven-day-notice, and written confidential-information-acknowledgement requirements of Fla. Stat. § 542.44(2)–(3) apply to this garden leave agreement; the corresponding provisions of this agreement (the CHOICE Act Counsel Advisal and Notice provision, if included, and the CHOICE Act Confidential Information Acknowledgement provision) are intended to address them.</w:t>
      </w:r>
    </w:p>
    <w:p>
      <w:pPr>
        <w:keepNext/>
        <w:numPr>
          <w:ilvl w:val="0"/>
          <w:numId w:val="1"/>
        </w:numPr>
        <w:spacing w:before="320" w:after="120" w:line="340" w:lineRule="auto"/>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keepNext/>
        <w:numPr>
          <w:ilvl w:val="0"/>
          <w:numId w:val="1"/>
        </w:numPr>
        <w:spacing w:before="320" w:after="120" w:line="340" w:lineRule="auto"/>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keepNext/>
        <w:numPr>
          <w:ilvl w:val="0"/>
          <w:numId w:val="1"/>
        </w:numPr>
        <w:spacing w:before="320" w:after="120" w:line="340" w:lineRule="auto"/>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so that the full duration of the restriction runs from the date the breach ends.</w:t>
      </w:r>
    </w:p>
    <w:p>
      <w:pPr>
        <w:keepNext/>
        <w:numPr>
          <w:ilvl w:val="0"/>
          <w:numId w:val="1"/>
        </w:numPr>
        <w:spacing w:before="320" w:after="120" w:line="340" w:lineRule="auto"/>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The parties agree that the violation of an enforceable restrictive covenant creates a presumption of irreparable injury under Fla. Stat. § 542.335(1)(j), and Employer may seek injunctive or other equitable relief in addition to any other remedies available at law. For a covered-employee non-compete enforceable under the CHOICE Act, a court must, on Employer's application, preliminarily enjoin Employee from competing during the noncompete period, dissolvable only by Employee's clear and convincing evidence as provided in Fla. Stat. § 542.45(5). If Employer prevails in any action to enforce this agreement, Employee must reimburse Employer's reasonable attorney's fees and costs.</w:t>
      </w:r>
    </w:p>
    <w:p>
      <w:pPr>
        <w:keepNext/>
        <w:numPr>
          <w:ilvl w:val="0"/>
          <w:numId w:val="1"/>
        </w:numPr>
        <w:spacing w:before="320" w:after="120" w:line="340" w:lineRule="auto"/>
      </w:pPr>
      <w:r>
        <w:rPr>
          <w:b/>
          <w:bCs/>
        </w:rPr>
        <w:t xml:space="preserve">Enforceability, Severability, and Reformation</w:t>
      </w:r>
    </w:p>
    <w:p>
      <w:pPr>
        <w:pStyle w:val="OABody"/>
        <w:spacing w:before="0" w:after="120" w:line="340" w:lineRule="auto"/>
        <w:ind w:left="720"/>
      </w:pPr>
      <w:r>
        <w:t xml:space="preserve">If any provision of this agreement is found to be unenforceable, the remaining provisions remain in full force and effect. Consistent with Fla. Stat. § 542.335(1)(c), if a court finds that any restraint in this agreement is overbroad, overlong, or otherwise not reasonably necessary to protect Employer's Legitimate Business Interests, Employer requests, and the parties agree, that the court shall modify the restraint and grant only the relief reasonably necessary to protect those interests. The parties intend that each restrictive covenant in this agreement be enforced to the fullest extent permitted by Florida law, and that any overbroad or overlong term be judicially modified rather than voided. The parties further acknowledge that, under Fla. Stat. § 542.335(1)(g)1 and (1)(h), a court shall not consider any individualized economic or other hardship to Employee and shall construe this agreement in favor of providing reasonable protection to Employer's Legitimate Business Interests.</w:t>
      </w:r>
    </w:p>
    <w:p>
      <w:pPr>
        <w:keepNext/>
        <w:numPr>
          <w:ilvl w:val="0"/>
          <w:numId w:val="1"/>
        </w:numPr>
        <w:spacing w:before="320" w:after="120" w:line="340" w:lineRule="auto"/>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indefinitely to the extent they relate to trade secrets. All other provisions survive to the extent necessary to enforce rights that arose during employment.</w:t>
      </w:r>
    </w:p>
    <w:p>
      <w:pPr>
        <w:keepNext/>
        <w:numPr>
          <w:ilvl w:val="0"/>
          <w:numId w:val="1"/>
        </w:numPr>
        <w:spacing w:before="320" w:after="120" w:line="340" w:lineRule="auto"/>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and the restrictive covenants in it, to Employer's direct corporate parent (identified in Cover Terms under Employer Parent Entity, if any), to any of Employer's Affiliates, or to any successor or acquirer of all or substantially all of Employer's business or assets. Pursuant to Fla. Stat. § 542.335(1)(f), Employer expressly authorizes enforcement of the restrictive covenants in this agreement by Employer's assignee or successor. The parties further expressly identify, as third-party beneficiaries of this agreement entitled to enforce the restrictive covenants for their own benefit, each of the following: Employer's direct corporate parent (as identified in Cover Terms, if any); the operating or service-recipient Affiliate identified in Cover Terms (if any) on whose behalf Employee performs services or that holds any of the Protected Interests; Employer's Affiliates, including any operating company or commonly controlled entity on whose behalf Employee performs services or that holds any of the Protected Interests; and any successor or assignee of Employer. The parties expressly state that the restrictive covenants are intended for the benefit of each such expressly-identified person, as required by Fla. Stat. § 542.335(1)(f)1. This agreement is binding on and inures to the benefit of the parties and their respective heirs, successors, third-party beneficiaries, and permitted assigns.</w:t>
      </w:r>
    </w:p>
    <w:p>
      <w:pPr>
        <w:keepNext/>
        <w:numPr>
          <w:ilvl w:val="0"/>
          <w:numId w:val="1"/>
        </w:numPr>
        <w:spacing w:before="320" w:after="120" w:line="340" w:lineRule="auto"/>
      </w:pPr>
      <w:r>
        <w:rPr>
          <w:b/>
          <w:bCs/>
        </w:rPr>
        <w:t xml:space="preserve">Governing Law, Venue, and Dispute Process</w:t>
      </w:r>
    </w:p>
    <w:p>
      <w:pPr>
        <w:pStyle w:val="OABody"/>
        <w:spacing w:before="0" w:after="120" w:line="340" w:lineRule="auto"/>
        <w:ind w:left="720"/>
      </w:pPr>
      <w:r>
        <w:t xml:space="preserve">This agreement is governed by the law listed in Cover Terms, including Fla. Stat. §§ 542.335 and 542.336 and, where applicable, the CHOICE Act, Fla. Stat. §§ 542.41–542.45. Disputes will be resolved in the courts of the Governing Law state, subject to non-waivable rights under applicable law.</w:t>
      </w:r>
    </w:p>
    <w:p>
      <w:pPr>
        <w:keepNext/>
        <w:numPr>
          <w:ilvl w:val="0"/>
          <w:numId w:val="1"/>
        </w:numPr>
        <w:spacing w:before="320" w:after="120" w:line="340" w:lineRule="auto"/>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(Florida) (v1.0).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(Florida) (v1.0).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(Florida) (v1.0).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tbl>
    <w:tblPr>
      <w:tblW w:w="10080" w:type="dxa"/>
      <w:tblBorders>
        <w:top w:val="none" w:sz="0" w:space="0" w:color="auto"/>
        <w:left w:val="none" w:sz="0" w:space="0" w:color="auto"/>
        <w:bottom w:val="single" w:sz="8" w:space="0" w:color="107087"/>
        <w:right w:val="none" w:sz="0" w:space="0" w:color="auto"/>
        <w:insideH w:val="none" w:sz="0" w:space="0" w:color="auto"/>
        <w:insideV w:val="none" w:sz="0" w:space="0" w:color="auto"/>
      </w:tblBorders>
      <w:tblLayout w:type="fixed"/>
    </w:tblPr>
    <w:tblGrid>
      <w:gridCol w:w="10080"/>
    </w:tblGrid>
    <w:tr>
      <w:tc>
        <w:tcPr>
          <w:tcW w:w="10080" w:type="dxa"/>
          <w:tcBorders>
            <w:bottom w:val="single" w:sz="8" w:space="0" w:color="107087"/>
          </w:tcBorders>
          <w:tcMar>
            <w:top w:w="0" w:type="dxa"/>
            <w:left w:w="0" w:type="dxa"/>
            <w:bottom w:w="40" w:type="dxa"/>
            <w:right w:w="0" w:type="dxa"/>
          </w:tcMar>
        </w:tcPr>
        <w:p>
          <w:pPr>
            <w:spacing w:after="0"/>
            <w:jc w:val="right"/>
          </w:pPr>
          <w:r>
            <w:rPr>
              <w:rFonts w:ascii="Arial" w:hAnsi="Arial" w:cs="Arial"/>
              <w:b/>
              <w:bCs/>
              <w:caps/>
              <w:color w:val="107087"/>
              <w:sz w:val="18"/>
              <w:szCs w:val="18"/>
            </w:rPr>
            <w:t xml:space="preserve">Cover Terms</w:t>
          </w:r>
        </w:p>
      </w:tc>
    </w:tr>
  </w:tbl>
</w:hdr>
</file>

<file path=word/header2.xml><?xml version="1.0" encoding="utf-8"?>
<w:hdr xmlns:w="http://schemas.openxmlformats.org/wordprocessingml/2006/main" xmlns:r="http://schemas.openxmlformats.org/officeDocument/2006/relationships">
  <w:tbl>
    <w:tblPr>
      <w:tblW w:w="10080" w:type="dxa"/>
      <w:tblBorders>
        <w:top w:val="none" w:sz="0" w:space="0" w:color="auto"/>
        <w:left w:val="none" w:sz="0" w:space="0" w:color="auto"/>
        <w:bottom w:val="single" w:sz="8" w:space="0" w:color="107087"/>
        <w:right w:val="none" w:sz="0" w:space="0" w:color="auto"/>
        <w:insideH w:val="none" w:sz="0" w:space="0" w:color="auto"/>
        <w:insideV w:val="none" w:sz="0" w:space="0" w:color="auto"/>
      </w:tblBorders>
      <w:tblLayout w:type="fixed"/>
    </w:tblPr>
    <w:tblGrid>
      <w:gridCol w:w="10080"/>
    </w:tblGrid>
    <w:tr>
      <w:tc>
        <w:tcPr>
          <w:tcW w:w="10080" w:type="dxa"/>
          <w:tcBorders>
            <w:bottom w:val="single" w:sz="8" w:space="0" w:color="107087"/>
          </w:tcBorders>
          <w:tcMar>
            <w:top w:w="0" w:type="dxa"/>
            <w:left w:w="0" w:type="dxa"/>
            <w:bottom w:w="40" w:type="dxa"/>
            <w:right w:w="0" w:type="dxa"/>
          </w:tcMar>
        </w:tcPr>
        <w:p>
          <w:pPr>
            <w:spacing w:after="0"/>
            <w:jc w:val="right"/>
          </w:pPr>
          <w:r>
            <w:rPr>
              <w:rFonts w:ascii="Arial" w:hAnsi="Arial" w:cs="Arial"/>
              <w:b/>
              <w:bCs/>
              <w:caps/>
              <w:color w:val="107087"/>
              <w:sz w:val="18"/>
              <w:szCs w:val="18"/>
            </w:rPr>
            <w:t xml:space="preserve">Standard Terms</w:t>
          </w:r>
        </w:p>
      </w:tc>
    </w:tr>
  </w:tbl>
</w:hdr>
</file>

<file path=word/header3.xml><?xml version="1.0" encoding="utf-8"?>
<w:hdr xmlns:w="http://schemas.openxmlformats.org/wordprocessingml/2006/main" xmlns:r="http://schemas.openxmlformats.org/officeDocument/2006/relationships">
  <w:tbl>
    <w:tblPr>
      <w:tblW w:w="10080" w:type="dxa"/>
      <w:tblBorders>
        <w:top w:val="none" w:sz="0" w:space="0" w:color="auto"/>
        <w:left w:val="none" w:sz="0" w:space="0" w:color="auto"/>
        <w:bottom w:val="single" w:sz="8" w:space="0" w:color="107087"/>
        <w:right w:val="none" w:sz="0" w:space="0" w:color="auto"/>
        <w:insideH w:val="none" w:sz="0" w:space="0" w:color="auto"/>
        <w:insideV w:val="none" w:sz="0" w:space="0" w:color="auto"/>
      </w:tblBorders>
      <w:tblLayout w:type="fixed"/>
    </w:tblPr>
    <w:tblGrid>
      <w:gridCol w:w="10080"/>
    </w:tblGrid>
    <w:tr>
      <w:tc>
        <w:tcPr>
          <w:tcW w:w="10080" w:type="dxa"/>
          <w:tcBorders>
            <w:bottom w:val="single" w:sz="8" w:space="0" w:color="107087"/>
          </w:tcBorders>
          <w:tcMar>
            <w:top w:w="0" w:type="dxa"/>
            <w:left w:w="0" w:type="dxa"/>
            <w:bottom w:w="40" w:type="dxa"/>
            <w:right w:w="0" w:type="dxa"/>
          </w:tcMar>
        </w:tcPr>
        <w:p>
          <w:pPr>
            <w:spacing w:after="0"/>
            <w:jc w:val="right"/>
          </w:pPr>
          <w:r>
            <w:rPr>
              <w:rFonts w:ascii="Arial" w:hAnsi="Arial" w:cs="Arial"/>
              <w:b/>
              <w:bCs/>
              <w:caps/>
              <w:color w:val="107087"/>
              <w:sz w:val="18"/>
              <w:szCs w:val="18"/>
            </w:rPr>
            <w:t xml:space="preserve">Signature Page</w:t>
          </w:r>
        </w:p>
      </w:tc>
    </w:tr>
  </w:tbl>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theme" Target="theme/theme1.xml"/><Relationship Id="rId10" Type="http://schemas.openxmlformats.org/officeDocument/2006/relationships/fontTable" Target="fontTable.xml"/><Relationship Id="rId11"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