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rPr>
              <w:t xml:space="preserve"/>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[Effective date of this agreement]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rPr>
              <w:t xml:space="preserve">Wyoming</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494A4B"/>
                <w:sz w:val="21"/>
                <w:szCs w:val="21"/>
              </w:rPr>
              <w:t xml:space="preserve">Perpetual</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494A4B"/>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Employee Non-Solicitation</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Customer Non-Solicitation</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Non-Competition</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494A4B"/>
                <w:sz w:val="21"/>
                <w:szCs w:val="21"/>
              </w:rPr>
              <w:t xml:space="preserve">the geographic area in which Employee provided services</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Competitive Business</w:t>
            </w:r>
          </w:p>
        </w:tc>
        <w:tc>
          <w:tcPr>
            <w:tcW w:w="6480" w:type="dxa"/>
            <w:tcMar>
              <w:top w:w="60" w:type="dxa"/>
              <w:left w:w="0" w:type="dxa"/>
              <w:bottom w:w="60" w:type="dxa"/>
              <w:right w:w="0" w:type="dxa"/>
            </w:tcMar>
          </w:tcPr>
          <w:p>
            <w:r>
              <w:rPr>
                <w:rFonts w:ascii="Arial" w:hAnsi="Arial" w:cs="Arial"/>
                <w:b/>
                <w:bCs/>
                <w:i/>
                <w:iCs/>
                <w:color w:val="494A4B"/>
                <w:sz w:val="21"/>
                <w:szCs w:val="21"/>
                <w:highlight w:val="yellow"/>
              </w:rPr>
              <w:t xml:space="preserve">[Description of the business activities that constitute competition with the employer.]</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494A4B"/>
                <w:sz w:val="21"/>
                <w:szCs w:val="21"/>
              </w:rPr>
              <w:t xml:space="preserve"/>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 Business with Covered Customers</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Non-Investment</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rPr>
              <w:t xml:space="preserve">24 months</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keepNext/>
        <w:numPr>
          <w:ilvl w:val="0"/>
          <w:numId w:val="1"/>
        </w:numPr>
        <w:spacing w:before="320" w:after="120" w:line="340" w:lineRule="auto"/>
      </w:pPr>
      <w:r>
        <w:rPr>
          <w:b/>
          <w:bCs/>
        </w:rPr>
        <w:t xml:space="preserve">Defined Terms</w:t>
      </w:r>
    </w:p>
    <w:p>
      <w:pPr>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w:t>
      </w:r>
    </w:p>
    <w:p>
      <w:pPr>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b w:val="0"/>
          <w:bCs w:val="0"/>
        </w:rPr>
        <w:t xml:space="preserve">12 months</w:t>
      </w:r>
      <w:r>
        <w:t xml:space="preserve"> before termination of employment.</w:t>
      </w:r>
    </w:p>
    <w:p>
      <w:pPr>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b w:val="0"/>
          <w:bCs w:val="0"/>
        </w:rPr>
        <w:t xml:space="preserve">12 months</w:t>
      </w:r>
      <w:r>
        <w:t xml:space="preserve"> before termination of employment.</w:t>
      </w:r>
    </w:p>
    <w:p>
      <w:pPr>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b w:val="0"/>
          <w:bCs w:val="0"/>
        </w:rPr>
        <w:t xml:space="preserve">five percent</w:t>
      </w:r>
      <w:r>
        <w:t xml:space="preserve"> of any class of such company’s securities, and interests in diversified mutual funds, index funds, and exchange-traded funds that may hold securities of a Competitive Business.</w:t>
      </w:r>
    </w:p>
    <w:p>
      <w:pPr>
        <w:numPr>
          <w:ilvl w:val="1"/>
          <w:numId w:val="1"/>
        </w:numPr>
        <w:spacing w:before="0" w:after="120" w:line="340" w:lineRule="auto"/>
      </w:pPr>
      <w:r>
        <w:rPr>
          <w:b/>
          <w:bCs/>
          <w:color w:val="117086"/>
        </w:rPr>
        <w:t xml:space="preserve">“Protected Interests”</w:t>
      </w:r>
      <w:r>
        <w:t xml:space="preserve"> means Employer's legitimate business interests in its Confidential Information, customer and business-partner relationships, workforce stability, and goodwill.</w:t>
      </w:r>
    </w:p>
    <w:p>
      <w:pPr>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numPr>
          <w:ilvl w:val="1"/>
          <w:numId w:val="1"/>
        </w:numPr>
        <w:spacing w:before="0" w:after="120" w:line="340" w:lineRule="auto"/>
      </w:pPr>
      <w:r>
        <w:rPr>
          <w:b/>
          <w:bCs/>
          <w:color w:val="117086"/>
        </w:rPr>
        <w:t xml:space="preserve">“Solicit”</w:t>
      </w:r>
      <w: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numPr>
          <w:ilvl w:val="1"/>
          <w:numId w:val="1"/>
        </w:numPr>
        <w:spacing w:before="0" w:after="120" w:line="340" w:lineRule="auto"/>
      </w:pPr>
      <w:r>
        <w:rPr>
          <w:b/>
          <w:bCs/>
          <w:color w:val="117086"/>
        </w:rPr>
        <w:t xml:space="preserve">“Trade Secrets”</w:t>
      </w:r>
      <w:r>
        <w:t xml:space="preserve"> has the meaning given in Wyo. Stat. § 6-3-501(a)(xi).</w:t>
      </w:r>
    </w:p>
    <w:p>
      <w:pPr>
        <w:keepNext/>
        <w:numPr>
          <w:ilvl w:val="0"/>
          <w:numId w:val="1"/>
        </w:numPr>
        <w:spacing w:before="320" w:after="120" w:line="340" w:lineRule="auto"/>
      </w:pPr>
      <w:r>
        <w:rPr>
          <w:b/>
          <w:bCs/>
        </w:rPr>
        <w:t xml:space="preserve">Timing and Employee Acknowledgements</w:t>
      </w:r>
    </w:p>
    <w:p>
      <w:pPr>
        <w:pStyle w:val="OABody"/>
        <w:spacing w:before="0" w:after="120" w:line="340" w:lineRule="auto"/>
        <w:ind w:left="720"/>
      </w:pPr>
      <w:r>
        <w:t xml:space="preserve">Employee acknowledges that the restrictions in this agreement are reasonable and necessary to protect Employer's Protected Interests. Employee acknowledges having had the opportunity to consult with independent legal counsel before signing this agreement. This agreement is effective as of the Effective Date listed in Cover Terms.</w:t>
      </w:r>
    </w:p>
    <w:p>
      <w:pPr>
        <w:keepNext/>
        <w:numPr>
          <w:ilvl w:val="0"/>
          <w:numId w:val="1"/>
        </w:numPr>
        <w:spacing w:before="320" w:after="120" w:line="340" w:lineRule="auto"/>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in perpetuity. Employee's obligations regarding other Confidential Information continue for the period specified in Cover Terms. Trade secrets are protected under Wyoming law, including Wyo. Stat. § 6-3-501(a)(xi).</w:t>
      </w:r>
    </w:p>
    <w:p>
      <w:pPr>
        <w:keepNext/>
        <w:numPr>
          <w:ilvl w:val="0"/>
          <w:numId w:val="1"/>
        </w:numPr>
        <w:spacing w:before="320" w:after="120" w:line="340" w:lineRule="auto"/>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keepNext/>
        <w:numPr>
          <w:ilvl w:val="0"/>
          <w:numId w:val="1"/>
        </w:numPr>
        <w:spacing w:before="320" w:after="120" w:line="340" w:lineRule="auto"/>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pPr>
        <w:keepNext/>
        <w:numPr>
          <w:ilvl w:val="0"/>
          <w:numId w:val="1"/>
        </w:numPr>
        <w:spacing w:before="320" w:after="120" w:line="340" w:lineRule="auto"/>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w:t>
      </w:r>
    </w:p>
    <w:p>
      <w:pPr>
        <w:keepNext/>
        <w:numPr>
          <w:ilvl w:val="0"/>
          <w:numId w:val="1"/>
        </w:numPr>
        <w:spacing w:before="320" w:after="120" w:line="340" w:lineRule="auto"/>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Practitioner sources flag uncertainty about whether Wyo. Stat. § 1-23-108 could reach certain non-solicitation provisions depending on how they function.</w:t>
      </w:r>
    </w:p>
    <w:p>
      <w:pPr>
        <w:keepNext/>
        <w:numPr>
          <w:ilvl w:val="0"/>
          <w:numId w:val="1"/>
        </w:numPr>
        <w:spacing w:before="320" w:after="120" w:line="340" w:lineRule="auto"/>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whether Employee or the Covered Customer first initiated contact. This restriction is broader than non-solicitation because it applies even if the Covered Customer approaches Employee. If the Cover Terms indicate that this restriction applies, it requires a lawful restriction pathway under Wyo. Stat. § 1-23-108.</w:t>
      </w:r>
    </w:p>
    <w:p>
      <w:pPr>
        <w:keepNext/>
        <w:numPr>
          <w:ilvl w:val="0"/>
          <w:numId w:val="1"/>
        </w:numPr>
        <w:spacing w:before="320" w:after="120" w:line="340" w:lineRule="auto"/>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This covenant is included only because the restriction pathway specified by Employer supports its enforceability under Wyo. Stat. § 1-23-108. Passive Public Holdings are permitted.</w:t>
      </w:r>
    </w:p>
    <w:p>
      <w:pPr>
        <w:keepNext/>
        <w:numPr>
          <w:ilvl w:val="0"/>
          <w:numId w:val="1"/>
        </w:numPr>
        <w:spacing w:before="320" w:after="120" w:line="340" w:lineRule="auto"/>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This restriction primarily targets active or material ownership in private competitors. Passive Public Holdings are permitted. This covenant requires a lawful restriction pathway under Wyo. Stat. § 1-23-108.</w:t>
      </w:r>
    </w:p>
    <w:p>
      <w:pPr>
        <w:keepNext/>
        <w:numPr>
          <w:ilvl w:val="0"/>
          <w:numId w:val="1"/>
        </w:numPr>
        <w:spacing w:before="320" w:after="120" w:line="340" w:lineRule="auto"/>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w:t>
      </w:r>
    </w:p>
    <w:p>
      <w:pPr>
        <w:keepNext/>
        <w:numPr>
          <w:ilvl w:val="0"/>
          <w:numId w:val="1"/>
        </w:numPr>
        <w:spacing w:before="320" w:after="120" w:line="340" w:lineRule="auto"/>
      </w:pPr>
      <w:r>
        <w:rPr>
          <w:b/>
          <w:bCs/>
        </w:rPr>
        <w:t xml:space="preserve">Physician-Specific Rights and Notices</w:t>
      </w:r>
    </w:p>
    <w:p>
      <w:pPr>
        <w:pStyle w:val="OABody"/>
        <w:spacing w:before="0" w:after="120" w:line="340" w:lineRule="auto"/>
        <w:ind w:left="720"/>
      </w:pPr>
      <w:r>
        <w:t xml:space="preserve">If Employee is a physician, then notwithstanding any other provision of this agreement, Wyo. Stat. § 1-23-108(b) preserves other enforceable provisions of this agreement even if a non-compete provision is void. A physician Employee with patients diagnosed with rare disorders (as defined by the National Organization for Rare Disorders) may notify those patients of their new practice location without liability under this agreement.</w:t>
      </w:r>
    </w:p>
    <w:p>
      <w:pPr>
        <w:keepNext/>
        <w:numPr>
          <w:ilvl w:val="0"/>
          <w:numId w:val="1"/>
        </w:numPr>
        <w:spacing w:before="320" w:after="120" w:line="340" w:lineRule="auto"/>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keepNext/>
        <w:numPr>
          <w:ilvl w:val="0"/>
          <w:numId w:val="1"/>
        </w:numPr>
        <w:spacing w:before="320" w:after="120" w:line="340" w:lineRule="auto"/>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w:t>
      </w:r>
    </w:p>
    <w:p>
      <w:pPr>
        <w:keepNext/>
        <w:numPr>
          <w:ilvl w:val="0"/>
          <w:numId w:val="1"/>
        </w:numPr>
        <w:spacing w:before="320" w:after="120" w:line="340" w:lineRule="auto"/>
      </w:pPr>
      <w:r>
        <w:rPr>
          <w:b/>
          <w:bCs/>
        </w:rPr>
        <w:t xml:space="preserve">Tolling During Breach</w:t>
      </w:r>
    </w:p>
    <w:p>
      <w:pPr>
        <w:pStyle w:val="OABody"/>
        <w:spacing w:before="0" w:after="120" w:line="340" w:lineRule="auto"/>
        <w:ind w:left="720"/>
      </w:pPr>
      <w:r>
        <w:t xml:space="preserve">If Employee breaches any restrictive covenant in this agreement, the Restricted Period for that covenant is extended by one day for each day of the breach, so that the full duration of the restriction runs from the date the breach ends.</w:t>
      </w:r>
    </w:p>
    <w:p>
      <w:pPr>
        <w:keepNext/>
        <w:numPr>
          <w:ilvl w:val="0"/>
          <w:numId w:val="1"/>
        </w:numPr>
        <w:spacing w:before="320" w:after="120" w:line="340" w:lineRule="auto"/>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injunctive or other equitable relief in addition to any other remedies available at law. If Employer prevails in any action to enforce this agreement, Employee must reimburse Employer's reasonable attorney's fees and costs. Employer does not ask any court to modify, reform, or rewrite any provision of this agreement.</w:t>
      </w:r>
    </w:p>
    <w:p>
      <w:pPr>
        <w:keepNext/>
        <w:numPr>
          <w:ilvl w:val="0"/>
          <w:numId w:val="1"/>
        </w:numPr>
        <w:spacing w:before="320" w:after="120" w:line="340" w:lineRule="auto"/>
      </w:pPr>
      <w:r>
        <w:rPr>
          <w:b/>
          <w:bCs/>
        </w:rPr>
        <w:t xml:space="preserve">Enforceability, Severability, and No Reformation Request</w:t>
      </w:r>
    </w:p>
    <w:p>
      <w:pPr>
        <w:pStyle w:val="OABody"/>
        <w:spacing w:before="0" w:after="120" w:line="340" w:lineRule="auto"/>
        <w:ind w:left="720"/>
      </w:pPr>
      <w:r>
        <w:t xml:space="preserve">If any provision of this agreement is found to be unenforceable, the remaining provisions remain in full force and effect. Consistent with Hassler v. Circle C Resources, 2022 WY 28, Employer acknowledges that Wyoming courts may decline to reform overbroad restrictive covenants and may instead void them entirely. Accordingly, this agreement does not include a reformation clause and does not request that any court rewrite its terms. Each restrictive covenant in this agreement is intended to be independently enforceable.</w:t>
      </w:r>
    </w:p>
    <w:p>
      <w:pPr>
        <w:keepNext/>
        <w:numPr>
          <w:ilvl w:val="0"/>
          <w:numId w:val="1"/>
        </w:numPr>
        <w:spacing w:before="320" w:after="120" w:line="340" w:lineRule="auto"/>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indefinitely to the extent they relate to trade secrets. All other provisions survive to the extent necessary to enforce rights that arose during employment.</w:t>
      </w:r>
    </w:p>
    <w:p>
      <w:pPr>
        <w:keepNext/>
        <w:numPr>
          <w:ilvl w:val="0"/>
          <w:numId w:val="1"/>
        </w:numPr>
        <w:spacing w:before="320" w:after="120" w:line="340" w:lineRule="auto"/>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w:t>
      </w:r>
    </w:p>
    <w:p>
      <w:pPr>
        <w:keepNext/>
        <w:numPr>
          <w:ilvl w:val="0"/>
          <w:numId w:val="1"/>
        </w:numPr>
        <w:spacing w:before="320" w:after="120" w:line="340" w:lineRule="auto"/>
      </w:pPr>
      <w:r>
        <w:rPr>
          <w:b/>
          <w:bCs/>
        </w:rPr>
        <w:t xml:space="preserve">Governing Law, Venue, and Dispute Process</w:t>
      </w:r>
    </w:p>
    <w:p>
      <w:pPr>
        <w:pStyle w:val="OABody"/>
        <w:spacing w:before="0" w:after="120" w:line="340" w:lineRule="auto"/>
        <w:ind w:left="720"/>
      </w:pPr>
      <w:r>
        <w:t xml:space="preserve">This agreement is governed by the law listed in Cover Terms, including Wyo. Stat. § 1-23-108 for contracts entered into on or after July 1, 2025. Disputes will be resolved in the courts of the Governing Law state, subject to non-waivable rights under applicable law.</w:t>
      </w:r>
    </w:p>
    <w:p>
      <w:pPr>
        <w:keepNext/>
        <w:numPr>
          <w:ilvl w:val="0"/>
          <w:numId w:val="1"/>
        </w:numPr>
        <w:spacing w:before="320" w:after="120" w:line="340" w:lineRule="auto"/>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(Wyoming) (v2.0).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(Wyoming) (v2.0).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(Wyoming) (v2.0).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tbl>
    <w:tblPr>
      <w:tblW w:w="10080" w:type="dxa"/>
      <w:tblBorders>
        <w:top w:val="none" w:sz="0" w:space="0" w:color="auto"/>
        <w:left w:val="none" w:sz="0" w:space="0" w:color="auto"/>
        <w:bottom w:val="single" w:sz="8" w:space="0" w:color="107087"/>
        <w:right w:val="none" w:sz="0" w:space="0" w:color="auto"/>
        <w:insideH w:val="none" w:sz="0" w:space="0" w:color="auto"/>
        <w:insideV w:val="none" w:sz="0" w:space="0" w:color="auto"/>
      </w:tblBorders>
      <w:tblLayout w:type="fixed"/>
    </w:tblPr>
    <w:tblGrid>
      <w:gridCol w:w="10080"/>
    </w:tblGrid>
    <w:tr>
      <w:tc>
        <w:tcPr>
          <w:tcW w:w="10080" w:type="dxa"/>
          <w:tcBorders>
            <w:bottom w:val="single" w:sz="8" w:space="0" w:color="107087"/>
          </w:tcBorders>
          <w:tcMar>
            <w:top w:w="0" w:type="dxa"/>
            <w:left w:w="0" w:type="dxa"/>
            <w:bottom w:w="40" w:type="dxa"/>
            <w:right w:w="0" w:type="dxa"/>
          </w:tcMar>
        </w:tcPr>
        <w:p>
          <w:pPr>
            <w:spacing w:after="0"/>
            <w:jc w:val="right"/>
          </w:pPr>
          <w:r>
            <w:rPr>
              <w:rFonts w:ascii="Arial" w:hAnsi="Arial" w:cs="Arial"/>
              <w:b/>
              <w:bCs/>
              <w:caps/>
              <w:color w:val="107087"/>
              <w:sz w:val="18"/>
              <w:szCs w:val="18"/>
            </w:rPr>
            <w:t xml:space="preserve">Cover Terms</w:t>
          </w:r>
        </w:p>
      </w:tc>
    </w:tr>
  </w:tbl>
</w:hdr>
</file>

<file path=word/header2.xml><?xml version="1.0" encoding="utf-8"?>
<w:hdr xmlns:w="http://schemas.openxmlformats.org/wordprocessingml/2006/main" xmlns:r="http://schemas.openxmlformats.org/officeDocument/2006/relationships">
  <w:tbl>
    <w:tblPr>
      <w:tblW w:w="10080" w:type="dxa"/>
      <w:tblBorders>
        <w:top w:val="none" w:sz="0" w:space="0" w:color="auto"/>
        <w:left w:val="none" w:sz="0" w:space="0" w:color="auto"/>
        <w:bottom w:val="single" w:sz="8" w:space="0" w:color="107087"/>
        <w:right w:val="none" w:sz="0" w:space="0" w:color="auto"/>
        <w:insideH w:val="none" w:sz="0" w:space="0" w:color="auto"/>
        <w:insideV w:val="none" w:sz="0" w:space="0" w:color="auto"/>
      </w:tblBorders>
      <w:tblLayout w:type="fixed"/>
    </w:tblPr>
    <w:tblGrid>
      <w:gridCol w:w="10080"/>
    </w:tblGrid>
    <w:tr>
      <w:tc>
        <w:tcPr>
          <w:tcW w:w="10080" w:type="dxa"/>
          <w:tcBorders>
            <w:bottom w:val="single" w:sz="8" w:space="0" w:color="107087"/>
          </w:tcBorders>
          <w:tcMar>
            <w:top w:w="0" w:type="dxa"/>
            <w:left w:w="0" w:type="dxa"/>
            <w:bottom w:w="40" w:type="dxa"/>
            <w:right w:w="0" w:type="dxa"/>
          </w:tcMar>
        </w:tcPr>
        <w:p>
          <w:pPr>
            <w:spacing w:after="0"/>
            <w:jc w:val="right"/>
          </w:pPr>
          <w:r>
            <w:rPr>
              <w:rFonts w:ascii="Arial" w:hAnsi="Arial" w:cs="Arial"/>
              <w:b/>
              <w:bCs/>
              <w:caps/>
              <w:color w:val="107087"/>
              <w:sz w:val="18"/>
              <w:szCs w:val="18"/>
            </w:rPr>
            <w:t xml:space="preserve">Standard Terms</w:t>
          </w:r>
        </w:p>
      </w:tc>
    </w:tr>
  </w:tbl>
</w:hdr>
</file>

<file path=word/header3.xml><?xml version="1.0" encoding="utf-8"?>
<w:hdr xmlns:w="http://schemas.openxmlformats.org/wordprocessingml/2006/main" xmlns:r="http://schemas.openxmlformats.org/officeDocument/2006/relationships">
  <w:tbl>
    <w:tblPr>
      <w:tblW w:w="10080" w:type="dxa"/>
      <w:tblBorders>
        <w:top w:val="none" w:sz="0" w:space="0" w:color="auto"/>
        <w:left w:val="none" w:sz="0" w:space="0" w:color="auto"/>
        <w:bottom w:val="single" w:sz="8" w:space="0" w:color="107087"/>
        <w:right w:val="none" w:sz="0" w:space="0" w:color="auto"/>
        <w:insideH w:val="none" w:sz="0" w:space="0" w:color="auto"/>
        <w:insideV w:val="none" w:sz="0" w:space="0" w:color="auto"/>
      </w:tblBorders>
      <w:tblLayout w:type="fixed"/>
    </w:tblPr>
    <w:tblGrid>
      <w:gridCol w:w="10080"/>
    </w:tblGrid>
    <w:tr>
      <w:tc>
        <w:tcPr>
          <w:tcW w:w="10080" w:type="dxa"/>
          <w:tcBorders>
            <w:bottom w:val="single" w:sz="8" w:space="0" w:color="107087"/>
          </w:tcBorders>
          <w:tcMar>
            <w:top w:w="0" w:type="dxa"/>
            <w:left w:w="0" w:type="dxa"/>
            <w:bottom w:w="40" w:type="dxa"/>
            <w:right w:w="0" w:type="dxa"/>
          </w:tcMar>
        </w:tcPr>
        <w:p>
          <w:pPr>
            <w:spacing w:after="0"/>
            <w:jc w:val="right"/>
          </w:pPr>
          <w:r>
            <w:rPr>
              <w:rFonts w:ascii="Arial" w:hAnsi="Arial" w:cs="Arial"/>
              <w:b/>
              <w:bCs/>
              <w:caps/>
              <w:color w:val="107087"/>
              <w:sz w:val="18"/>
              <w:szCs w:val="18"/>
            </w:rPr>
            <w:t xml:space="preserve">Signature Page</w:t>
          </w:r>
        </w:p>
      </w:tc>
    </w:tr>
  </w:tbl>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theme" Target="theme/theme1.xml"/><Relationship Id="rId10" Type="http://schemas.openxmlformats.org/officeDocument/2006/relationships/fontTable" Target="fontTable.xml"/><Relationship Id="rId11"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