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Restrictive Covenant Agreement (Wyoming)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144"/>
              <w:left w:type="dxa" w:w="115"/>
              <w:bottom w:type="dxa" w:w="144"/>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restrictive covenant agreement are as follows. This agreement is governed by Wyoming law, including Wyo. Stat. § 1-23-108 (2025).</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Employer</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Employee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Employee Title / Position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Worker Category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{worker_category}</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Wyoming Restriction Pathway(s)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{restriction_pathways}</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Consideration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{consideration}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Competitive Business Definition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Protected Customer / Partner Description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{protected_customers}</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Protected Employee Group</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{protected_employee_group}</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Specified Competitors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Territory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Passive Investment Threshold</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{passive_investment_threshold}</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Return-of-Property Deadline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{return_of_property_deadline}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Venue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Covenant Matrix</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Covenant | Included | Duration | Scope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{confidentiality_included} | {confidentiality_duration} | Per Defined Terms</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Non-Solicitation of Employees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{employee_nonsolicit_included} | {employee_nonsolicit_duration} | {protected_employee_group}</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Non-Solicitation of Customers / Partners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{customer_nonsolicit_included} | {customer_nonsolicit_duration} | {protected_customers}</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Non-Dealing</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{nondealing_included} | {nondealing_duration} | Same as customer non-solicitation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Non-Competition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{noncompete_included} | {noncompete_duration} | {competitive_business_definition} within {territory}</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Non-Investment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{noninvestment_included} | {noninvestment_duration} | Above {passive_investment_threshold}</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{nondisparagement_included} | Indefinite | Reciprocal</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 Business" means the business activities described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under Competitive Business Definition. "</w:t>
      </w:r>
      <w:r>
        <w:rPr>
          <w:rFonts w:ascii="Arial" w:cs="Arial" w:eastAsia="Arial" w:hAnsi="Arial"/>
          <w:b/>
          <w:bCs/>
          <w:i w:val="false"/>
          <w:iCs w:val="false"/>
          <w:color w:val="117086"/>
          <w:sz w:val="22"/>
          <w:szCs w:val="22"/>
        </w:rPr>
        <w:t xml:space="preserve">Confidential Information</w:t>
      </w:r>
      <w:r>
        <w:rPr>
          <w:rFonts w:ascii="Arial" w:cs="Arial" w:eastAsia="Arial" w:hAnsi="Arial"/>
          <w:b w:val="false"/>
          <w:bCs w:val="false"/>
          <w:i w:val="false"/>
          <w:iCs w:val="false"/>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"Protected Interests" means Employer's legitimate business interests in its </w:t>
      </w:r>
      <w:r>
        <w:rPr>
          <w:rFonts w:ascii="Arial" w:cs="Arial" w:eastAsia="Arial" w:hAnsi="Arial"/>
          <w:b/>
          <w:bCs/>
          <w:i w:val="false"/>
          <w:iCs w:val="false"/>
          <w:color w:val="117086"/>
          <w:sz w:val="22"/>
          <w:szCs w:val="22"/>
        </w:rPr>
        <w:t xml:space="preserve">Confidential Information</w:t>
      </w:r>
      <w:r>
        <w:rPr>
          <w:rFonts w:ascii="Arial" w:cs="Arial" w:eastAsia="Arial" w:hAnsi="Arial"/>
          <w:b w:val="false"/>
          <w:bCs w:val="false"/>
          <w:i w:val="false"/>
          <w:iCs w:val="false"/>
          <w:color w:val="1D2021"/>
          <w:sz w:val="22"/>
          <w:szCs w:val="22"/>
        </w:rPr>
        <w:t xml:space="preserve">, customer and business-partner relationships, workforce stability, and goodwill. "Restricted Period" means the duration specified in the Covenant Matrix for each covenant, beginning on the date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's employment ends. "Restricted Territory" means the geographic area described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under Territory. "Solicit" means to directly or indirectly contact, approach, induce, encourage, or provide </w:t>
      </w:r>
      <w:r>
        <w:rPr>
          <w:rFonts w:ascii="Arial" w:cs="Arial" w:eastAsia="Arial" w:hAnsi="Arial"/>
          <w:b/>
          <w:bCs/>
          <w:i w:val="false"/>
          <w:iCs w:val="false"/>
          <w:color w:val="117086"/>
          <w:sz w:val="22"/>
          <w:szCs w:val="22"/>
        </w:rPr>
        <w:t xml:space="preserve">Confidential Information</w:t>
      </w:r>
      <w:r>
        <w:rPr>
          <w:rFonts w:ascii="Arial" w:cs="Arial" w:eastAsia="Arial" w:hAnsi="Arial"/>
          <w:b w:val="false"/>
          <w:bCs w:val="false"/>
          <w:i w:val="false"/>
          <w:iCs w:val="false"/>
          <w:color w:val="1D2021"/>
          <w:sz w:val="22"/>
          <w:szCs w:val="22"/>
        </w:rPr>
        <w:t xml:space="preserve"> to any person or entity for the purpose of diverting business away from Employer, but does not include responding to general advertisements or unsolicited inquiries not initiated by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Consideration, Timing, and Employee Acknowledgements.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acknowledges that the consideration described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is adequate and sufficient for the obligations in this agreement.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acknowledges that the restrictions in this agreement are reasonable and necessary to protect Employer's Protected Interests.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acknowledges having had the opportunity to consult with independent legal counsel before signing this agreement. This agreement is effective as of the Effective Date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must treat all </w:t>
      </w:r>
      <w:r>
        <w:rPr>
          <w:rFonts w:ascii="Arial" w:cs="Arial" w:eastAsia="Arial" w:hAnsi="Arial"/>
          <w:b/>
          <w:bCs/>
          <w:i w:val="false"/>
          <w:iCs w:val="false"/>
          <w:color w:val="117086"/>
          <w:sz w:val="22"/>
          <w:szCs w:val="22"/>
        </w:rPr>
        <w:t xml:space="preserve">Confidential Information</w:t>
      </w:r>
      <w:r>
        <w:rPr>
          <w:rFonts w:ascii="Arial" w:cs="Arial" w:eastAsia="Arial" w:hAnsi="Arial"/>
          <w:b w:val="false"/>
          <w:bCs w:val="false"/>
          <w:i w:val="false"/>
          <w:iCs w:val="false"/>
          <w:color w:val="1D2021"/>
          <w:sz w:val="22"/>
          <w:szCs w:val="22"/>
        </w:rPr>
        <w:t xml:space="preserve"> as strictly confidential.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must not use or disclose </w:t>
      </w:r>
      <w:r>
        <w:rPr>
          <w:rFonts w:ascii="Arial" w:cs="Arial" w:eastAsia="Arial" w:hAnsi="Arial"/>
          <w:b/>
          <w:bCs/>
          <w:i w:val="false"/>
          <w:iCs w:val="false"/>
          <w:color w:val="117086"/>
          <w:sz w:val="22"/>
          <w:szCs w:val="22"/>
        </w:rPr>
        <w:t xml:space="preserve">Confidential Information</w:t>
      </w:r>
      <w:r>
        <w:rPr>
          <w:rFonts w:ascii="Arial" w:cs="Arial" w:eastAsia="Arial" w:hAnsi="Arial"/>
          <w:b w:val="false"/>
          <w:bCs w:val="false"/>
          <w:i w:val="false"/>
          <w:iCs w:val="false"/>
          <w:color w:val="1D2021"/>
          <w:sz w:val="22"/>
          <w:szCs w:val="22"/>
        </w:rPr>
        <w:t xml:space="preserve"> except as required to perform authorized job duties or with Employer's prior written consent.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's obligations under this section continue during and after employment until the information becomes public through no fault of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Trade secrets are protected under Wyoming law, including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w:t>
      </w:r>
      <w:r>
        <w:rPr>
          <w:rFonts w:ascii="Arial" w:cs="Arial" w:eastAsia="Arial" w:hAnsi="Arial"/>
          <w:b/>
          <w:bCs/>
          <w:i w:val="false"/>
          <w:iCs w:val="false"/>
          <w:color w:val="117086"/>
          <w:sz w:val="22"/>
          <w:szCs w:val="22"/>
        </w:rPr>
        <w:t xml:space="preserve">Confidential Information</w:t>
      </w:r>
      <w:r>
        <w:rPr>
          <w:rFonts w:ascii="Arial" w:cs="Arial" w:eastAsia="Arial" w:hAnsi="Arial"/>
          <w:b w:val="false"/>
          <w:bCs w:val="false"/>
          <w:i w:val="false"/>
          <w:iCs w:val="false"/>
          <w:color w:val="1D2021"/>
          <w:sz w:val="22"/>
          <w:szCs w:val="22"/>
        </w:rPr>
        <w:t xml:space="preserve"> without liability. Pursuant to the Defend Trade Secrets Act (18 U.S.C. § 1833(b)),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Within the deadline specified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under Return-of-Property Deadline,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must return to Employer all documents, devices, files, credentials, and other materials containing or relating to </w:t>
      </w:r>
      <w:r>
        <w:rPr>
          <w:rFonts w:ascii="Arial" w:cs="Arial" w:eastAsia="Arial" w:hAnsi="Arial"/>
          <w:b/>
          <w:bCs/>
          <w:i w:val="false"/>
          <w:iCs w:val="false"/>
          <w:color w:val="117086"/>
          <w:sz w:val="22"/>
          <w:szCs w:val="22"/>
        </w:rPr>
        <w:t xml:space="preserve">Confidential Information</w:t>
      </w:r>
      <w:r>
        <w:rPr>
          <w:rFonts w:ascii="Arial" w:cs="Arial" w:eastAsia="Arial" w:hAnsi="Arial"/>
          <w:b w:val="false"/>
          <w:bCs w:val="false"/>
          <w:i w:val="false"/>
          <w:iCs w:val="false"/>
          <w:color w:val="1D2021"/>
          <w:sz w:val="22"/>
          <w:szCs w:val="22"/>
        </w:rPr>
        <w:t xml:space="preserve">. Where permitted,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must permanently delete electronic copies of </w:t>
      </w:r>
      <w:r>
        <w:rPr>
          <w:rFonts w:ascii="Arial" w:cs="Arial" w:eastAsia="Arial" w:hAnsi="Arial"/>
          <w:b/>
          <w:bCs/>
          <w:i w:val="false"/>
          <w:iCs w:val="false"/>
          <w:color w:val="117086"/>
          <w:sz w:val="22"/>
          <w:szCs w:val="22"/>
        </w:rPr>
        <w:t xml:space="preserve">Confidential Information</w:t>
      </w:r>
      <w:r>
        <w:rPr>
          <w:rFonts w:ascii="Arial" w:cs="Arial" w:eastAsia="Arial" w:hAnsi="Arial"/>
          <w:b w:val="false"/>
          <w:bCs w:val="false"/>
          <w:i w:val="false"/>
          <w:iCs w:val="false"/>
          <w:color w:val="1D2021"/>
          <w:sz w:val="22"/>
          <w:szCs w:val="22"/>
        </w:rPr>
        <w:t xml:space="preserve"> from personal devices and accounts.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must certify compliance with this section in writing upon Employer's request.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the Covenant Matrix,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must not Solicit, recruit, hire, or attempt to hire any person within the Protected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Group described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This restriction does not prohibit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from providing a professional reference upon request or from hiring a person who responds to a general advertisement not directed specifically at Employer's employees.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the Covenant Matrix,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must not Solicit the business of any customer, vendor, referral source, or business partner described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under Protected </w:t>
      </w:r>
      <w:r>
        <w:rPr>
          <w:rFonts w:ascii="Arial" w:cs="Arial" w:eastAsia="Arial" w:hAnsi="Arial"/>
          <w:b/>
          <w:bCs/>
          <w:i w:val="false"/>
          <w:iCs w:val="false"/>
          <w:color w:val="117086"/>
          <w:sz w:val="22"/>
          <w:szCs w:val="22"/>
        </w:rPr>
        <w:t xml:space="preserve">Customer</w:t>
      </w:r>
      <w:r>
        <w:rPr>
          <w:rFonts w:ascii="Arial" w:cs="Arial" w:eastAsia="Arial" w:hAnsi="Arial"/>
          <w:b w:val="false"/>
          <w:bCs w:val="false"/>
          <w:i w:val="false"/>
          <w:iCs w:val="false"/>
          <w:color w:val="1D2021"/>
          <w:sz w:val="22"/>
          <w:szCs w:val="22"/>
        </w:rPr>
        <w:t xml:space="preserve"> / Partner Description, limited to those with whom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had material contact or for whom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had responsibility during the final 24 months of employment. Practitioner sources flag uncertainty about whether Wyo. Stat. § 1-23-108 could reach certain non-solicitation provisions depending on how they function.</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Non-Dealing.</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the Covenant Matrix indicates that Non-Dealing is included, then during the Restricted Period specified in the Covenant Matrix,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must not engage in business with any person or entity described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under Protected </w:t>
      </w:r>
      <w:r>
        <w:rPr>
          <w:rFonts w:ascii="Arial" w:cs="Arial" w:eastAsia="Arial" w:hAnsi="Arial"/>
          <w:b/>
          <w:bCs/>
          <w:i w:val="false"/>
          <w:iCs w:val="false"/>
          <w:color w:val="117086"/>
          <w:sz w:val="22"/>
          <w:szCs w:val="22"/>
        </w:rPr>
        <w:t xml:space="preserve">Customer</w:t>
      </w:r>
      <w:r>
        <w:rPr>
          <w:rFonts w:ascii="Arial" w:cs="Arial" w:eastAsia="Arial" w:hAnsi="Arial"/>
          <w:b w:val="false"/>
          <w:bCs w:val="false"/>
          <w:i w:val="false"/>
          <w:iCs w:val="false"/>
          <w:color w:val="1D2021"/>
          <w:sz w:val="22"/>
          <w:szCs w:val="22"/>
        </w:rPr>
        <w:t xml:space="preserve"> / Partner Description, regardless of whether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or the other party first initiated contact. This covenant requires a lawful restriction pathway under Wyo. Stat. § 1-23-108 as specified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the Covenant Matrix indicates that Non-Competition is included, then during the Restricted Period specified in the Covenant Matrix,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must not engage in, be employed by, consult for, or have an active ownership interest in any Competitive Business within the Restricted Territory. This covenant is included only because the Wyoming Restriction Pathway(s) specified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support its enforceability under Wyo. Stat. § 1-23-108. Passive ownership of securities below the Passive Investment Threshold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is permitted. Ownership of interests in diversified mutual funds, index funds, or exchange-traded funds that may hold securities of a Competitive Business is permitted.</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Non-Investment / Non-Ownership / Non-Participation.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the Covenant Matrix indicates that Non-Investment is included, then during the Restricted Period specified in the Covenant Matrix,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must not acquire or hold any active ownership interest in, serve as a director, officer, manager, or advisor to, or have material economic participation in any Competitive Business, except as permitted by the passive investment carve-outs in the Non-Competition section. This covenant requires a lawful restriction pathway under Wyo. Stat. § 1-23-108 as specified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the Covenant Matrix indicates that Non-Disparagement is included,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must not make statements that are intended to or reasonably likely to disparage Employer, its officers, directors, employees, products, or services. Employer must instruct its executive officers not to make statements that are intended to or reasonably likely to disparage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This section does not restrict either party from making truthful statements in legal proceedings, providing truthful testimony, or making disclosures to government agencies.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is a physician, then notwithstanding any other provision of this agreement, Wyo. Stat. § 1-23-108(b) preserves other enforceable provisions of this agreement even if a non-compete provision is void. A physician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with patients diagnosed with rare disorders (as defined by the National Organization for Rare Disorders) may notify those patients of their new practice location without liability under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performing duties for Employer and complying with this agreement does not conflict with any prior agreement, court order, or legal obligation binding on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must promptly disclose to Employer any potential conflict that arises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if Employer has a reasonable belief that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may breach this agreement.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consents to this disclosure.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breaches any restrictive covenant in this agreement, the Restricted Period for that covenant is extended by one day for each day of the breach, so that the full duration of the restriction runs from the date the breach ends.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must reimburse Employer's reasonable attorney's fees and costs. Employer does not ask any court to modify, reform, or rewrite any provision of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's employment for the duration specified in the Covenant Matrix. Obligations under the </w:t>
      </w:r>
      <w:r>
        <w:rPr>
          <w:rFonts w:ascii="Arial" w:cs="Arial" w:eastAsia="Arial" w:hAnsi="Arial"/>
          <w:b/>
          <w:bCs/>
          <w:i w:val="false"/>
          <w:iCs w:val="false"/>
          <w:color w:val="117086"/>
          <w:sz w:val="22"/>
          <w:szCs w:val="22"/>
        </w:rPr>
        <w:t xml:space="preserve">Confidential Information</w:t>
      </w:r>
      <w:r>
        <w:rPr>
          <w:rFonts w:ascii="Arial" w:cs="Arial" w:eastAsia="Arial" w:hAnsi="Arial"/>
          <w:b w:val="false"/>
          <w:bCs w:val="false"/>
          <w:i w:val="false"/>
          <w:iCs w:val="false"/>
          <w:color w:val="1D2021"/>
          <w:sz w:val="22"/>
          <w:szCs w:val="22"/>
        </w:rPr>
        <w:t xml:space="preserve"> and Trade Secret Protection section survive indefinitely to the extent they relate to trade secrets. The Non-Disparagement obligation survives indefinitely. All other provisions survive to the extent necessary to enforce rights that arose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before="0" w:after="280" w:line="340" w:beforeAutospacing="false" w:afterAutospacing="false"/>
        <w:contextualSpacing w:val="false"/>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Wyo. Stat. § 1-23-108 for contracts entered into on or after July 1, 2025. Disputes will be resolved in the venue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subject to non-waivable rights under applicable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Covenant Matrix.</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2026-03-30T00:41:11.438Z</dcterms:created>
  <dcterms:modified xsi:type="dcterms:W3CDTF">2026-03-30T00:41:11.438Z</dcterms:modified>
</cp:coreProperties>
</file>

<file path=docProps/custom.xml><?xml version="1.0" encoding="utf-8"?>
<Properties xmlns="http://schemas.openxmlformats.org/officeDocument/2006/custom-properties" xmlns:vt="http://schemas.openxmlformats.org/officeDocument/2006/docPropsVTypes"/>
</file>