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p>
      <w:pPr>
        <w:pStyle w:val="Normal"/>
        <w:spacing w:after="0" w:line="0"/>
      </w:pPr>
      <w:r>
        <w:rPr>
          <w:sz w:val="1"/>
          <w:szCs w:val="1"/>
        </w:rPr>
        <w:t xml:space="preserve">{IF any_confirmation_pending}</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CONFIRMATION REQUIRED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For the item below, confirm the stated fact occurred, then delete its yellow "CONFIRM before signing" bracket in the Standard Terms. Delete this notice before signing.</w:t>
      </w:r>
    </w:p>
    <w:p>
      <w:pPr>
        <w:pStyle w:val="OAClauseBody"/>
        <w:spacing w:after="280" w:before="0" w:line="340" w:beforeAutospacing="false" w:afterAutospacing="false"/>
        <w:contextualSpacing w:val="false"/>
      </w:pPr>
      <w:r>
        <w:rPr>
          <w:rFonts w:ascii="Arial" w:cs="Arial" w:eastAsia="Arial" w:hAnsi="Arial"/>
          <w:b w:val="false"/>
          <w:bCs w:val="false"/>
          <w:color w:val="1D2021"/>
          <w:sz w:val="22"/>
          <w:szCs w:val="22"/>
          <w:highlight w:val="yellow"/>
          <w:highlightCs w:val="yellow"/>
        </w:rPr>
        <w:t xml:space="preserve">Item requiring confirmation:</w:t>
      </w:r>
    </w:p>
    <w:p>
      <w:pPr>
        <w:pStyle w:val="Normal"/>
        <w:spacing w:after="0" w:line="0"/>
      </w:pPr>
      <w:r>
        <w:rPr>
          <w:sz w:val="1"/>
          <w:szCs w:val="1"/>
        </w:rPr>
        <w:t xml:space="preserve">{IF covered_employee}</w:t>
      </w:r>
    </w:p>
    <w:p>
      <w:pPr>
        <w:pStyle w:val="Normal"/>
        <w:spacing w:after="0" w:line="0"/>
      </w:pPr>
      <w:r>
        <w:rPr>
          <w:sz w:val="1"/>
          <w:szCs w:val="1"/>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color w:val="1D2021"/>
          <w:sz w:val="22"/>
          <w:szCs w:val="22"/>
          <w:highlight w:val="yellow"/>
          <w:highlightCs w:val="yellow"/>
        </w:rPr>
        <w:t xml:space="preserve">• </w:t>
      </w:r>
      <w:hyperlink w:history="1" w:anchor="oa_xref_6eb93a20e7f56b6c">
        <w:r>
          <w:rPr>
            <w:rFonts w:ascii="Arial" w:cs="Arial" w:eastAsia="Arial" w:hAnsi="Arial"/>
            <w:color w:val="0563C1"/>
            <w:sz w:val="22"/>
            <w:szCs w:val="22"/>
            <w:highlight w:val="yellow"/>
            <w:highlightCs w:val="yellow"/>
            <w:u w:val="single"/>
          </w:rPr>
          <w:t xml:space="preserve">&lt;&lt;xref:oa_xref_6eb93a20e7f56b6c&gt;&gt;</w:t>
        </w:r>
      </w:hyperlink>
      <w:r>
        <w:rPr>
          <w:rFonts w:ascii="Arial" w:cs="Arial" w:eastAsia="Arial" w:hAnsi="Arial"/>
          <w:color w:val="1D2021"/>
          <w:sz w:val="22"/>
          <w:szCs w:val="22"/>
          <w:highlight w:val="yellow"/>
          <w:highlightCs w:val="yellow"/>
        </w:rPr>
        <w:t xml:space="preserve"> — CHOICE Act Counsel Advisal and Notice (Covered Employee) — for more details see </w:t>
      </w:r>
      <w:hyperlink w:history="1" r:id="rIdj4lbeqawvjy3mkmwndrbl">
        <w:r>
          <w:rPr>
            <w:rFonts w:ascii="Arial" w:cs="Arial" w:eastAsia="Arial" w:hAnsi="Arial"/>
            <w:color w:val="0563C1"/>
            <w:sz w:val="22"/>
            <w:szCs w:val="22"/>
            <w:highlight w:val="yellow"/>
            <w:highlightCs w:val="yellow"/>
            <w:u w:val="single"/>
          </w:rPr>
          <w:t xml:space="preserve">https://openagreements.org/legal/non-compete/florida</w:t>
        </w:r>
      </w:hyperlink>
    </w:p>
    <w:p>
      <w:pPr>
        <w:pStyle w:val="Normal"/>
        <w:spacing w:after="0" w:line="0"/>
      </w:pPr>
      <w:r>
        <w:rPr>
          <w:sz w:val="1"/>
          <w:szCs w:val="1"/>
        </w:rPr>
        <w:t xml:space="preserve">{END-IF}</w:t>
      </w:r>
    </w:p>
    <w:p>
      <w:pPr>
        <w:pStyle w:val="Normal"/>
        <w:spacing w:after="0" w:line="0"/>
      </w:pPr>
      <w:r>
        <w:rPr>
          <w:sz w:val="1"/>
          <w:szCs w:val="1"/>
        </w:rPr>
        <w:t xml:space="preserve">{END-IF}</w:t>
      </w:r>
    </w:p>
    <w:p>
      <w:pPr>
        <w:pStyle w:val="Normal"/>
        <w:spacing w:after="0" w:line="0"/>
      </w:pPr>
      <w:r>
        <w:rPr>
          <w:sz w:val="1"/>
          <w:szCs w:val="1"/>
        </w:rPr>
        <w:t xml:space="preserve">{END-IF}</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employer_parent_name}Employer Parent Entity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{employer_parent_name}{END-IF}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employer_operating_affiliate_name}Operating / Service-Recipient Affiliate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{employer_operating_affiliate_name}{END-IF}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garden_leave_included}Covered Employee Garden Leave (CHOICE Act)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garden_leave_included}</w:t>
            </w:r>
          </w:p>
          <w:p>
            <w:pPr>
              <w:pStyle w:val="Normal"/>
              <w:spacing w:after="0" w:before="0" w:line="340"/>
            </w:pPr>
            <w:r>
              <w:rPr>
                <w:rFonts w:ascii="Arial" w:cs="Arial" w:eastAsia="Arial" w:hAnsi="Arial"/>
                <w:b w:val="false"/>
                <w:bCs w:val="false"/>
                <w:i/>
                <w:iCs/>
                <w:color w:val="494A4B"/>
                <w:sz w:val="20"/>
                <w:szCs w:val="20"/>
              </w:rPr>
              <w:t xml:space="preserve">Garden Leave Notice Period</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{garden_leave_notice_duration}{END-IF}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“Affiliates”</w:t>
      </w:r>
      <w:r>
        <w:rPr>
          <w:rFonts w:ascii="Arial" w:cs="Arial" w:eastAsia="Arial" w:hAnsi="Arial"/>
          <w:color w:val="1D2021"/>
          <w:sz w:val="22"/>
          <w:szCs w:val="22"/>
        </w:rP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patients, clients,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“Legitimate Business Interests”</w:t>
      </w:r>
      <w:r>
        <w:rPr>
          <w:rFonts w:ascii="Arial" w:cs="Arial" w:eastAsia="Arial" w:hAnsi="Arial"/>
          <w:color w:val="1D2021"/>
          <w:sz w:val="22"/>
          <w:szCs w:val="22"/>
        </w:rP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1.11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1.12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the Florida Uniform Trade Secrets Act, Fla. Stat. § 688.002.</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Recitals and Legitimate Business Interest.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Normal"/>
        <w:spacing w:after="0" w:line="0"/>
      </w:pPr>
      <w:r>
        <w:rPr>
          <w:sz w:val="1"/>
          <w:szCs w:val="1"/>
        </w:rPr>
        <w:t xml:space="preserve">{IF employee_nonsolicit_included}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Normal"/>
        <w:spacing w:after="0" w:line="0"/>
      </w:pPr>
      <w:r>
        <w:rPr>
          <w:sz w:val="1"/>
          <w:szCs w:val="1"/>
        </w:rPr>
        <w:t xml:space="preserve">{END-IF}</w:t>
      </w:r>
    </w:p>
    <w:p>
      <w:pPr>
        <w:pStyle w:val="Normal"/>
        <w:spacing w:after="0" w:line="0"/>
      </w:pPr>
      <w:r>
        <w:rPr>
          <w:sz w:val="1"/>
          <w:szCs w:val="1"/>
        </w:rPr>
        <w:t xml:space="preserve">{IF customer_nonsolicit_included}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Non-Solicitation of Customers, Patients,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nondealing_included}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pPr>
        <w:pStyle w:val="Normal"/>
        <w:spacing w:after="0" w:line="0"/>
      </w:pPr>
      <w:r>
        <w:rPr>
          <w:sz w:val="1"/>
          <w:szCs w:val="1"/>
        </w:rPr>
        <w:t xml:space="preserve">{END-IF}</w:t>
      </w:r>
    </w:p>
    <w:p>
      <w:pPr>
        <w:pStyle w:val="Normal"/>
        <w:spacing w:after="0" w:line="0"/>
      </w:pPr>
      <w:r>
        <w:rPr>
          <w:sz w:val="1"/>
          <w:szCs w:val="1"/>
        </w:rPr>
        <w:t xml:space="preserve">{IF noncompete_included}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pPr>
        <w:pStyle w:val="Normal"/>
        <w:spacing w:after="0" w:line="0"/>
      </w:pPr>
      <w:r>
        <w:rPr>
          <w:sz w:val="1"/>
          <w:szCs w:val="1"/>
        </w:rPr>
        <w:t xml:space="preserve">{END-IF}</w:t>
      </w:r>
    </w:p>
    <w:p>
      <w:pPr>
        <w:pStyle w:val="Normal"/>
        <w:spacing w:after="0" w:line="0"/>
      </w:pPr>
      <w:r>
        <w:rPr>
          <w:sz w:val="1"/>
          <w:szCs w:val="1"/>
        </w:rPr>
        <w:t xml:space="preserve">{IF noninvestment_included}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bookmarkStart w:name="oa_xref_6eb93a20e7f56b6c" w:id="1"/>
      <w:r>
        <w:rPr>
          <w:rFonts w:ascii="Arial" w:cs="Arial" w:eastAsia="Arial" w:hAnsi="Arial"/>
          <w:b/>
          <w:bCs/>
          <w:color w:val="1D2021"/>
          <w:sz w:val="22"/>
          <w:szCs w:val="22"/>
        </w:rPr>
        <w:t xml:space="preserve">14. CHOICE Act Counsel Advisal and Notice (Covered Employee).</w:t>
      </w:r>
      <w:bookmarkEnd w:id="1"/>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!choice_act_advance_notice_confirmed}</w:t>
      </w:r>
    </w:p>
    <w:p>
      <w:pPr>
        <w:pStyle w:val="OAClauseBody"/>
        <w:spacing w:after="280" w:before="0" w:line="340" w:beforeAutospacing="false" w:afterAutospacing="false"/>
        <w:contextualSpacing w:val="false"/>
      </w:pPr>
      <w:r>
        <w:rPr>
          <w:rFonts w:ascii="Arial" w:cs="Arial" w:eastAsia="Arial" w:hAnsi="Arial"/>
          <w:b/>
          <w:bCs/>
          <w:color w:val="1D2021"/>
          <w:sz w:val="22"/>
          <w:szCs w:val="22"/>
          <w:highlight w:val="yellow"/>
          <w:highlightCs w:val="yellow"/>
        </w:rPr>
        <w:t xml:space="preserve">[CONFIRM before signing: the written right-to-counsel advisal and at least 7-day advance notice were actually given before signing; see https://openagreements.org/legal/non-compete/florida]</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Normal"/>
        <w:spacing w:after="0" w:line="0"/>
      </w:pPr>
      <w:r>
        <w:rPr>
          <w:sz w:val="1"/>
          <w:szCs w:val="1"/>
        </w:rPr>
        <w:t xml:space="preserve">{END-IF}</w:t>
      </w:r>
    </w:p>
    <w:p>
      <w:pPr>
        <w:pStyle w:val="Normal"/>
        <w:spacing w:after="0" w:line="0"/>
      </w:pPr>
      <w:r>
        <w:rPr>
          <w:sz w:val="1"/>
          <w:szCs w:val="1"/>
        </w:rPr>
        <w:t xml:space="preserve">{IF covered_employee}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CHOICE Act Confidential Information Acknowledgement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Normal"/>
        <w:spacing w:after="0" w:line="0"/>
      </w:pPr>
      <w:r>
        <w:rPr>
          <w:sz w:val="1"/>
          <w:szCs w:val="1"/>
        </w:rPr>
        <w:t xml:space="preserve">{END-IF}</w:t>
      </w:r>
    </w:p>
    <w:p>
      <w:pPr>
        <w:pStyle w:val="Normal"/>
        <w:spacing w:after="0" w:line="0"/>
      </w:pPr>
      <w:r>
        <w:rPr>
          <w:sz w:val="1"/>
          <w:szCs w:val="1"/>
        </w:rPr>
        <w:t xml:space="preserve">{IF garden_leave_included}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CHOICE Act Garden Leave and Day-for-Day Offset (Covered Employee).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includes a covered garden leave agreement within the meaning of Fla. Stat. § 542.43(5), under which Employer and Employee agree to a garden-leave notice period of {garden_leave_notice_duration}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Normal"/>
        <w:spacing w:after="0" w:line="0"/>
      </w:pPr>
      <w:r>
        <w:rPr>
          <w:sz w:val="1"/>
          <w:szCs w:val="1"/>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Enforceability, Severability, and Reformation.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22.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23.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24.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25.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{employer_name}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(Florida) (v1.0).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j4lbeqawvjy3mkmwndrbl" Type="http://schemas.openxmlformats.org/officeDocument/2006/relationships/hyperlink" Target="https://openagreements.org/legal/non-compete/florida" TargetMode="External"/><Relationship Id="rId14" Type="http://schemas.openxmlformats.org/officeDocument/2006/relationships/fontTable" Target="fontTable.xml"/><Relationship Id="rId15" Type="http://schemas.openxmlformats.org/officeDocument/2006/relationships/theme" Target="theme/theme1.xml"/><Relationship Id="rId16"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2026-06-17T11:31:37.610Z</dcterms:created>
  <dcterms:modified xsi:type="dcterms:W3CDTF">2026-06-17T11:31:37.610Z</dcterms:modified>
</cp:coreProperties>
</file>

<file path=docProps/custom.xml><?xml version="1.0" encoding="utf-8"?>
<Properties xmlns="http://schemas.openxmlformats.org/officeDocument/2006/custom-properties" xmlns:vt="http://schemas.openxmlformats.org/officeDocument/2006/docPropsVTypes"/>
</file>