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Protected Disclosures and Protected Activity.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Nothing in this acknowledgement restricts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from reporting possible violations of law to a government agency or attorney, making disclosures protected by whistleblower laws, or discussing wages, hours, or working conditions as protected by law.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does not need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prior approval to make those disclosures or to notify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that they were made. Pursuant to the Defend Trade Secrets Act (18 U.S.C. § 1833(b)),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not be held criminally or civilly liable under federal or state trade secret law for disclosing a trade secret in confidence to a government official or attorney solely to report or investigate a suspected violation of law, or in a court filing made under seal.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also disclose a trade secret to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attorney and use it in a retaliation lawsuit if any filing containing the trade secret is made under seal and the trade secret is not otherwise disclosed except by court order.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864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5" Type="http://schemas.openxmlformats.org/officeDocument/2006/relationships/webSettings" Target="webSettings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2026-06-17T11:31:37.575Z</dcterms:created>
  <dcterms:modified xsi:type="dcterms:W3CDTF">2026-06-17T11:31:37.575Z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