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Times New Roman" w:cs="Times New Roman" w:eastAsia="Times New Roman" w:hAnsi="Times New Roman"/>
          <w:b/>
          <w:bCs/>
          <w:sz w:val="28"/>
          <w:szCs w:val="28"/>
        </w:rPr>
        <w:t xml:space="preserve">Reproducibility and Replication Information for the Study</w:t>
      </w:r>
    </w:p>
    <w:p>
      <w:pPr>
        <w:spacing w:after="80" w:before="240"/>
      </w:pPr>
      <w:r>
        <w:rPr>
          <w:rFonts w:ascii="Times New Roman" w:cs="Times New Roman" w:eastAsia="Times New Roman" w:hAnsi="Times New Roman"/>
          <w:b/>
          <w:bCs/>
          <w:sz w:val="24"/>
          <w:szCs w:val="24"/>
        </w:rPr>
        <w:t xml:space="preserve">Study Design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study employed a quasi-experimental, repeated-measures design with two between-subjects conditions (Experimental and Control) and five within-subjects levels of task complexity. To examine the role of users’ evolving familiarity with conversational AI, the design was implemented across two independent data-collection phases conducted approximately twenty months apart: Phase I in September 2024 and Phase II in May 2026. Each phase comprised three consecutive stages—a training stage, a task stage, and a feedback stage. Group membership served as the between-subjects factor and task complexity as the within-subjects factor; data-collection phase constitutes an additional between-subjects factor in cross-phase comparisons.</w:t>
      </w:r>
    </w:p>
    <w:p>
      <w:pPr>
        <w:spacing w:after="80" w:before="240"/>
      </w:pPr>
      <w:r>
        <w:rPr>
          <w:rFonts w:ascii="Times New Roman" w:cs="Times New Roman" w:eastAsia="Times New Roman" w:hAnsi="Times New Roman"/>
          <w:b/>
          <w:bCs/>
          <w:sz w:val="24"/>
          <w:szCs w:val="24"/>
        </w:rPr>
        <w:t xml:space="preserve">Participants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total sample consisted of 48 university students learning English as a foreign language, distributed across the two phases. Each phase included 24 participants randomly assigned to an Experimental group or a Control group, with 12 students per group per phase, yielding four groups in total: Group A (Experimental, Phase I), Group B (Control, Phase I), Group C (Experimental, Phase II), and Group D (Control, Phase II). Participants were balanced in terms of gender, age (21–22 years), and educational background. To ensure comparable language proficiency, all participants completed a diagnostic computer-based B2-level English test prior to the experiment. Random assignment was carried out so as to maintain an equal distribution of participants by gender across groups.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 defining difference between the two phases lay in participants’ prior familiarity with chatbots. Phase I participants (Groups A and B) reported little or no prior experience with ChatGPT, whereas by Phase II no participant was unfamiliar with AI, large language models, and ChatGPT in particular: all Phase II participants (Groups C and D) reported moderate to extensive familiarity with chatbots. All other participant characteristics were held constant across phases.</w:t>
      </w:r>
    </w:p>
    <w:p>
      <w:pPr>
        <w:spacing w:after="80" w:before="240"/>
      </w:pPr>
      <w:r>
        <w:rPr>
          <w:rFonts w:ascii="Times New Roman" w:cs="Times New Roman" w:eastAsia="Times New Roman" w:hAnsi="Times New Roman"/>
          <w:b/>
          <w:bCs/>
          <w:sz w:val="24"/>
          <w:szCs w:val="24"/>
        </w:rPr>
        <w:t xml:space="preserve">Intervention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Participants in the Experimental groups (Groups A and C) received a single 90-minute training session in pragmatics-based prompting strategies, delivered identically in both phases. The training applied Grice’s conversational maxims—Quality, Quantity, Relevance, and Manner—as the standard for successful interaction and was organized around four representative human–chatbot interaction scenarios, combining explicit instruction with guided practice on a GPT-based chatbot. The Control groups (Groups B and D) received no prompting instruction prior to the task stage in order to preserve the comparative design; to address the ethical concern of withholding a potentially beneficial intervention, the same training was provided to both Control groups after data collection (delayed-training design). The complete training syllabus is provided in Appendix A.</w:t>
      </w:r>
    </w:p>
    <w:p>
      <w:pPr>
        <w:spacing w:after="80" w:before="240"/>
      </w:pPr>
      <w:r>
        <w:rPr>
          <w:rFonts w:ascii="Times New Roman" w:cs="Times New Roman" w:eastAsia="Times New Roman" w:hAnsi="Times New Roman"/>
          <w:b/>
          <w:bCs/>
          <w:sz w:val="24"/>
          <w:szCs w:val="24"/>
        </w:rPr>
        <w:t xml:space="preserve">Tasks and Measures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 each phase, participants completed the same set of 20 communicative tasks in English (their L2), distributed evenly across the five complexity levels (four tasks per level) and presented in randomized order to reduce learning or sequence effects. Five performance indicators were recorded. Four were captured at the task level: (1) task completion status (complete/incomplete), determined by researcher coding against a predefined rubric of essential communicative requirements; (2) the number of conversational turns required to complete the task; (3) user satisfaction, rated on a five-point Likert scale reflecting both product-related and process-related satisfaction; and (4) the number of chatbot misunderstandings per task. In addition, (5) participants’ own linguistic accuracy was assessed by coding the full interaction transcripts for grammatical and spelling errors, expressed as a rate per conversational turn so that error frequency was comparable across participants and groups irrespective of interaction length.</w:t>
      </w:r>
    </w:p>
    <w:p>
      <w:pPr>
        <w:spacing w:after="80" w:before="240"/>
      </w:pPr>
      <w:r>
        <w:rPr>
          <w:rFonts w:ascii="Times New Roman" w:cs="Times New Roman" w:eastAsia="Times New Roman" w:hAnsi="Times New Roman"/>
          <w:b/>
          <w:bCs/>
          <w:sz w:val="24"/>
          <w:szCs w:val="24"/>
        </w:rPr>
        <w:t xml:space="preserve">Definition of Misunderstandings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 misunderstanding was defined as an instance in which a chatbot response failed to meet the communicative requirements of the assigned task and required clarification or reformulation by the participant. Misunderstandings were coded using predefined categories, including irrelevance, misinterpretation, incomplete response, format violation, factual error, and system refusal.</w:t>
      </w:r>
    </w:p>
    <w:p>
      <w:pPr>
        <w:spacing w:after="80" w:before="240"/>
      </w:pPr>
      <w:r>
        <w:rPr>
          <w:rFonts w:ascii="Times New Roman" w:cs="Times New Roman" w:eastAsia="Times New Roman" w:hAnsi="Times New Roman"/>
          <w:b/>
          <w:bCs/>
          <w:sz w:val="24"/>
          <w:szCs w:val="24"/>
        </w:rPr>
        <w:t xml:space="preserve">Technical Environment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All sessions were conducted on standard desktop computers in a controlled laboratory setting using the web-based interface of ChatGPT accessed through identical institutional accounts. Within each phase, all participants used the same free (non-subscription) model version available at the time, with default system settings and no personalization features enabled: conversational memory was not retained across tasks beyond the active session, external browsing and plug-in integrations were disabled, and responses were generated solely from the model’s internal knowledge without real-time internet access. All interactions were conducted in English.</w:t>
      </w:r>
    </w:p>
    <w:p>
      <w:pPr>
        <w:spacing w:after="160" w:line="360" w:lineRule="auto"/>
        <w:jc w:val="both"/>
      </w:pPr>
      <w:r>
        <w:rPr>
          <w:rFonts w:ascii="Times New Roman" w:cs="Times New Roman" w:eastAsia="Times New Roman" w:hAnsi="Times New Roman"/>
          <w:b/>
          <w:bCs/>
          <w:i w:val="false"/>
          <w:iCs w:val="false"/>
          <w:sz w:val="24"/>
          <w:szCs w:val="24"/>
        </w:rPr>
        <w:t xml:space="preserve">Important note on cross-phase comparability. </w:t>
      </w:r>
      <w:r>
        <w:rPr>
          <w:rFonts w:ascii="Times New Roman" w:cs="Times New Roman" w:eastAsia="Times New Roman" w:hAnsi="Times New Roman"/>
          <w:b w:val="false"/>
          <w:bCs w:val="false"/>
          <w:i w:val="false"/>
          <w:iCs w:val="false"/>
          <w:sz w:val="24"/>
          <w:szCs w:val="24"/>
        </w:rPr>
        <w:t xml:space="preserve">Because the two phases were separated by approximately twenty months, the free ChatGPT model version available in September 2024 differed from that available in May 2026, reflecting the rapid evolution of the underlying systems. The model was therefore held constant within each phase but not across phases. Researchers attempting to replicate or extend this work should record the exact model version and release date in use, as differences in model capability may independently influence interaction outcomes such as conversational turns and misunderstandings, over and above the effects of prompting instruction and user familiarity.</w:t>
      </w:r>
    </w:p>
    <w:p>
      <w:pPr>
        <w:spacing w:after="80" w:before="240"/>
      </w:pPr>
      <w:r>
        <w:rPr>
          <w:rFonts w:ascii="Times New Roman" w:cs="Times New Roman" w:eastAsia="Times New Roman" w:hAnsi="Times New Roman"/>
          <w:b/>
          <w:bCs/>
          <w:sz w:val="24"/>
          <w:szCs w:val="24"/>
        </w:rPr>
        <w:t xml:space="preserve">Data Coding and Reliability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Interaction transcripts were exported from the OpenAI interface and stored in a shared digital repository for analysis. All outcomes were coded using standardized rubrics developed prior to analysis. A subset of transcripts was independently coded by a second rater to assess reliability, and interrater agreement was calculated using Cohen’s kappa, indicating acceptable agreement for the coding procedures.</w:t>
      </w:r>
    </w:p>
    <w:p>
      <w:pPr>
        <w:spacing w:after="80" w:before="240"/>
      </w:pPr>
      <w:r>
        <w:rPr>
          <w:rFonts w:ascii="Times New Roman" w:cs="Times New Roman" w:eastAsia="Times New Roman" w:hAnsi="Times New Roman"/>
          <w:b/>
          <w:bCs/>
          <w:sz w:val="24"/>
          <w:szCs w:val="24"/>
        </w:rPr>
        <w:t xml:space="preserve">Statistical Analysis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All analyses were conducted in R (version 4.4.1) using established packages for mixed-effects modeling (Bates et al., 2015; Brooks et al., 2017; Christensen, 2019), with the significance level set at α = .05. Rather than applying a single linear mixed-effects model uniformly, each outcome was analyzed with a generalized linear mixed-effects model (GLMM) matched to its measurement scale: a logistic mixed model for binary task completion (reported as odds ratios), negative binomial mixed models for the conversational-turn and misunderstanding counts (reported as incidence rate ratios), and a cumulative-link (ordinal) mixed model for the five-point satisfaction ratings (reported as cumulative odds ratios). Linguistic-accuracy errors were analyzed with the same negative binomial framework, with the number of conversational turns entered as an exposure offset. All models included fixed effects of group, task complexity, and their interaction, and a random intercept for participant.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Omnibus and interaction effects were assessed using likelihood-ratio tests comparing nested models (reported as likelihood-ratio χ² with the associated degrees of freedom), whereas individual model coefficients were evaluated with Wald tests (reported as z values). Where several task levels were compared, p-values were adjusted to limit false positives using the Holm correction (Aickin &amp; Gensler, 1996). For all outcomes, 95% confidence intervals are reported alongside point estimates. Given the modest participant-level sample (12 participants per group within each phase), the analyses are framed as exploratory rather than confirmatory, and interpretation emphasizes the direction and magnitude of effects together with their confidence intervals rather than significance thresholds alone.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Perplexity Computer</dc:creator>
  <cp:lastModifiedBy>Un-named</cp:lastModifiedBy>
  <cp:revision>1</cp:revision>
  <dcterms:created xsi:type="dcterms:W3CDTF">2026-06-11T21:20:03.840Z</dcterms:created>
  <dcterms:modified xsi:type="dcterms:W3CDTF">2026-06-11T21:20:03.841Z</dcterms:modified>
</cp:coreProperties>
</file>

<file path=docProps/custom.xml><?xml version="1.0" encoding="utf-8"?>
<Properties xmlns="http://schemas.openxmlformats.org/officeDocument/2006/custom-properties" xmlns:vt="http://schemas.openxmlformats.org/officeDocument/2006/docPropsVTypes"/>
</file>