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FDA" w:rsidRPr="00405FDA" w:rsidRDefault="003F7E4C" w:rsidP="00BD0E51">
      <w:pPr>
        <w:spacing w:line="240" w:lineRule="auto"/>
        <w:ind w:left="-720"/>
        <w:jc w:val="center"/>
        <w:rPr>
          <w:sz w:val="48"/>
          <w:szCs w:val="48"/>
        </w:rPr>
      </w:pPr>
      <w:r>
        <w:rPr>
          <w:color w:val="004D71"/>
          <w:sz w:val="68"/>
          <w:szCs w:val="144"/>
        </w:rPr>
        <w:t>Data Element Profile</w:t>
      </w:r>
      <w:r w:rsidR="00124032">
        <w:rPr>
          <w:color w:val="004D71"/>
          <w:sz w:val="144"/>
          <w:szCs w:val="144"/>
        </w:rPr>
        <w:br/>
      </w:r>
      <w:r w:rsidR="00124032">
        <w:rPr>
          <w:sz w:val="48"/>
          <w:szCs w:val="48"/>
        </w:rPr>
        <w:t>6th National Action Plan on Open Government Tracker</w:t>
      </w:r>
    </w:p>
    <w:p w:rsidR="006800A1" w:rsidRDefault="006800A1" w:rsidP="00405FDA">
      <w:pPr>
        <w:sectPr w:rsidR="006800A1" w:rsidSect="001A1620">
          <w:headerReference w:type="even" r:id="rId8"/>
          <w:headerReference w:type="default" r:id="rId9"/>
          <w:footerReference w:type="even" r:id="rId10"/>
          <w:footerReference w:type="default" r:id="rId11"/>
          <w:headerReference w:type="first" r:id="rId12"/>
          <w:footerReference w:type="first" r:id="rId13"/>
          <w:pgSz w:w="12240" w:h="15840" w:code="1"/>
          <w:pgMar w:top="3600" w:right="450" w:bottom="1440" w:left="1440" w:header="706" w:footer="706" w:gutter="0"/>
          <w:cols w:space="708"/>
          <w:titlePg/>
          <w:docGrid w:linePitch="360"/>
        </w:sectPr>
      </w:pPr>
    </w:p>
    <w:p>
      <w:pPr>
        <w:pStyle w:val="Heading1"/>
      </w:pPr>
      <w:r>
        <w:t>Legend</w:t>
      </w:r>
    </w:p>
    <w:p>
      <w:r>
        <w:t>The following sample table provides a description of each field you will see for all elements:</w:t>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This text should correspond directly with the field name in your template in English</w:t>
            </w:r>
          </w:p>
        </w:tc>
      </w:tr>
      <w:tr>
        <w:tc>
          <w:tcPr>
            <w:tcW w:type="dxa" w:w="2659"/>
            <w:shd w:fill="c6d9f1"/>
          </w:tcPr>
          <w:p>
            <w:r>
              <w:t>Field Name FR</w:t>
            </w:r>
          </w:p>
        </w:tc>
        <w:tc>
          <w:tcPr>
            <w:tcW w:type="dxa" w:w="6690"/>
          </w:tcPr>
          <w:p>
            <w:r>
              <w:t>This text should correspond directly with the field name in your template in French</w:t>
            </w:r>
          </w:p>
        </w:tc>
      </w:tr>
      <w:tr>
        <w:tc>
          <w:tcPr>
            <w:tcW w:type="dxa" w:w="2659"/>
            <w:shd w:fill="c6d9f1"/>
          </w:tcPr>
          <w:p>
            <w:r>
              <w:t>Description EN</w:t>
            </w:r>
          </w:p>
        </w:tc>
        <w:tc>
          <w:tcPr>
            <w:tcW w:type="dxa" w:w="6690"/>
          </w:tcPr>
          <w:p>
            <w:r>
              <w:t>This provides a brief description of the element in English</w:t>
            </w:r>
          </w:p>
        </w:tc>
      </w:tr>
      <w:tr>
        <w:tc>
          <w:tcPr>
            <w:tcW w:type="dxa" w:w="2659"/>
            <w:shd w:fill="c6d9f1"/>
          </w:tcPr>
          <w:p>
            <w:r>
              <w:t>Description FR</w:t>
            </w:r>
          </w:p>
        </w:tc>
        <w:tc>
          <w:tcPr>
            <w:tcW w:type="dxa" w:w="6690"/>
          </w:tcPr>
          <w:p>
            <w:r>
              <w:t>This provides a brief description of the element in French</w:t>
            </w:r>
          </w:p>
        </w:tc>
      </w:tr>
      <w:tr>
        <w:tc>
          <w:tcPr>
            <w:tcW w:type="dxa" w:w="2659"/>
            <w:shd w:fill="c6d9f1"/>
          </w:tcPr>
          <w:p>
            <w:r>
              <w:t>Obligation</w:t>
            </w:r>
          </w:p>
        </w:tc>
        <w:tc>
          <w:tcPr>
            <w:tcW w:type="dxa" w:w="6690"/>
          </w:tcPr>
          <w:p>
            <w:r>
              <w:t xml:space="preserve">Indicates whether the element is required to always or sometimes be present </w:t>
              <w:br/>
              <w:t>(i.e., contain a value). Options are:</w:t>
            </w:r>
          </w:p>
          <w:p>
            <w:pPr>
              <w:pStyle w:val="ListBullet"/>
            </w:pPr>
            <w:r>
              <w:t>Mandatory</w:t>
            </w:r>
          </w:p>
          <w:p>
            <w:pPr>
              <w:pStyle w:val="ListBullet"/>
            </w:pPr>
            <w:r>
              <w:t>Mandatory, conditional</w:t>
            </w:r>
          </w:p>
          <w:p>
            <w:pPr>
              <w:pStyle w:val="ListBullet"/>
            </w:pPr>
            <w:r>
              <w:t>Optional</w:t>
            </w:r>
          </w:p>
        </w:tc>
      </w:tr>
      <w:tr>
        <w:tc>
          <w:tcPr>
            <w:tcW w:type="dxa" w:w="2659"/>
            <w:shd w:fill="c6d9f1"/>
          </w:tcPr>
          <w:p>
            <w:r>
              <w:t>Format Type</w:t>
            </w:r>
          </w:p>
        </w:tc>
        <w:tc>
          <w:tcPr>
            <w:tcW w:type="dxa" w:w="6690"/>
          </w:tcPr>
          <w:p>
            <w:r>
              <w:t>Options are:</w:t>
            </w:r>
          </w:p>
          <w:p>
            <w:pPr>
              <w:pStyle w:val="ListBullet"/>
            </w:pPr>
            <w:r>
              <w:t>Integer (e.g. page count, year or month number)</w:t>
            </w:r>
          </w:p>
          <w:p>
            <w:pPr>
              <w:pStyle w:val="ListBullet"/>
            </w:pPr>
            <w:r>
              <w:t>Numeric (e.g. decimal, currency values)</w:t>
            </w:r>
          </w:p>
          <w:p>
            <w:pPr>
              <w:pStyle w:val="ListBullet"/>
            </w:pPr>
            <w:r>
              <w:t>Text</w:t>
            </w:r>
          </w:p>
          <w:p>
            <w:pPr>
              <w:pStyle w:val="ListBullet"/>
            </w:pPr>
            <w:r>
              <w:t>Text Array (e.g. one or more codes from a controlled list)</w:t>
            </w:r>
          </w:p>
          <w:p>
            <w:pPr>
              <w:pStyle w:val="ListBullet"/>
            </w:pPr>
            <w:r>
              <w:t>Date (YYYY-MM-DD)</w:t>
            </w:r>
          </w:p>
          <w:p>
            <w:pPr>
              <w:pStyle w:val="ListBullet"/>
            </w:pPr>
            <w:r>
              <w:t>Timestamp (YYYY-MM-DD hh:mm:ss)</w:t>
            </w:r>
          </w:p>
        </w:tc>
      </w:tr>
      <w:tr>
        <w:tc>
          <w:tcPr>
            <w:tcW w:type="dxa" w:w="2659"/>
            <w:shd w:fill="c6d9f1"/>
          </w:tcPr>
          <w:p>
            <w:r>
              <w:t>Validation EN</w:t>
            </w:r>
          </w:p>
        </w:tc>
        <w:tc>
          <w:tcPr>
            <w:tcW w:type="dxa" w:w="6690"/>
          </w:tcPr>
          <w:p>
            <w:r>
              <w:t>Describes the condition or conditions according to which a value shall be present in English.</w:t>
              <w:br/>
              <w:t>Indicates what the system will accept in this field.</w:t>
            </w:r>
          </w:p>
        </w:tc>
      </w:tr>
      <w:tr>
        <w:tc>
          <w:tcPr>
            <w:tcW w:type="dxa" w:w="2659"/>
            <w:shd w:fill="c6d9f1"/>
          </w:tcPr>
          <w:p>
            <w:r>
              <w:t>Validation FR</w:t>
            </w:r>
          </w:p>
        </w:tc>
        <w:tc>
          <w:tcPr>
            <w:tcW w:type="dxa" w:w="6690"/>
          </w:tcPr>
          <w:p>
            <w:r>
              <w:t>Describes the condition or conditions according to which a value shall be present in French.</w:t>
              <w:br/>
              <w:t>Indicates what the system will accept in this field.</w:t>
            </w:r>
          </w:p>
        </w:tc>
      </w:tr>
      <w:tr>
        <w:tc>
          <w:tcPr>
            <w:tcW w:type="dxa" w:w="2659"/>
            <w:shd w:fill="c6d9f1"/>
          </w:tcPr>
          <w:p>
            <w:r>
              <w:t>Example Value</w:t>
            </w:r>
          </w:p>
        </w:tc>
        <w:tc>
          <w:tcPr>
            <w:tcW w:type="dxa" w:w="6690"/>
          </w:tcPr>
          <w:p>
            <w:r>
              <w:t>Provide one or more real examples of the values that may appear, e.g. “CODE1” or “Family Services Reform Program”</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CODE1</w:t>
            </w:r>
          </w:p>
        </w:tc>
        <w:tc>
          <w:tcPr>
            <w:tcW w:type="dxa" w:w="3628"/>
          </w:tcPr>
          <w:p>
            <w:r>
              <w:t>English Description 1</w:t>
            </w:r>
          </w:p>
        </w:tc>
        <w:tc>
          <w:tcPr>
            <w:tcW w:type="dxa" w:w="3628"/>
          </w:tcPr>
          <w:p>
            <w:r>
              <w:t>French Description 1</w:t>
            </w:r>
          </w:p>
        </w:tc>
      </w:tr>
      <w:tr>
        <w:tc>
          <w:tcPr>
            <w:tcW w:type="dxa" w:w="2092"/>
          </w:tcPr>
          <w:p>
            <w:r>
              <w:t>CODE2</w:t>
            </w:r>
          </w:p>
        </w:tc>
        <w:tc>
          <w:tcPr>
            <w:tcW w:type="dxa" w:w="3628"/>
          </w:tcPr>
          <w:p>
            <w:r>
              <w:t>English Description 2</w:t>
            </w:r>
          </w:p>
        </w:tc>
        <w:tc>
          <w:tcPr>
            <w:tcW w:type="dxa" w:w="3628"/>
          </w:tcPr>
          <w:p>
            <w:r>
              <w:t>French Description 2</w:t>
            </w:r>
          </w:p>
        </w:tc>
      </w:tr>
    </w:tbl>
    <w:p>
      <w:r>
        <w:br w:type="page"/>
      </w:r>
    </w:p>
    <w:p>
      <w:pPr>
        <w:pStyle w:val="Heading1"/>
      </w:pPr>
      <w:r>
        <w:t>6th National Action Plan on Open Government Tracker</w:t>
        <w:br/>
      </w:r>
    </w:p>
    <w:p>
      <w:pPr>
        <w:pStyle w:val="Heading2"/>
      </w:pPr>
      <w:r>
        <w:t>1-1 Reporting Period</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Reporting Period</w:t>
            </w:r>
          </w:p>
        </w:tc>
      </w:tr>
      <w:tr>
        <w:tc>
          <w:tcPr>
            <w:tcW w:type="dxa" w:w="2659"/>
            <w:shd w:fill="c6d9f1"/>
          </w:tcPr>
          <w:p>
            <w:r>
              <w:t>Field Name FR</w:t>
            </w:r>
          </w:p>
        </w:tc>
        <w:tc>
          <w:tcPr>
            <w:tcW w:type="dxa" w:w="6690"/>
          </w:tcPr>
          <w:p>
            <w:r>
              <w:t>Période de déclaration</w:t>
            </w:r>
          </w:p>
        </w:tc>
      </w:tr>
      <w:tr>
        <w:tc>
          <w:tcPr>
            <w:tcW w:type="dxa" w:w="2659"/>
            <w:shd w:fill="c6d9f1"/>
          </w:tcPr>
          <w:p>
            <w:r>
              <w:t>ID</w:t>
            </w:r>
          </w:p>
        </w:tc>
        <w:tc>
          <w:tcPr>
            <w:tcW w:type="dxa" w:w="6690"/>
          </w:tcPr>
          <w:p>
            <w:r>
              <w:t>reporting_period</w:t>
            </w:r>
          </w:p>
        </w:tc>
      </w:tr>
      <w:tr>
        <w:tc>
          <w:tcPr>
            <w:tcW w:type="dxa" w:w="2659"/>
            <w:shd w:fill="c6d9f1"/>
          </w:tcPr>
          <w:p>
            <w:r>
              <w:t>Description EN</w:t>
            </w:r>
          </w:p>
        </w:tc>
        <w:tc>
          <w:tcPr>
            <w:tcW w:type="dxa" w:w="6690"/>
          </w:tcPr>
          <w:p>
            <w:r>
              <w:t>Year and month of the update</w:t>
            </w:r>
          </w:p>
        </w:tc>
      </w:tr>
      <w:tr>
        <w:tc>
          <w:tcPr>
            <w:tcW w:type="dxa" w:w="2659"/>
            <w:shd w:fill="c6d9f1"/>
          </w:tcPr>
          <w:p>
            <w:r>
              <w:t>Description FR</w:t>
            </w:r>
          </w:p>
        </w:tc>
        <w:tc>
          <w:tcPr>
            <w:tcW w:type="dxa" w:w="6690"/>
          </w:tcPr>
          <w:p>
            <w:r>
              <w:t>Année et mois de la mise à jour</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2025-12</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2025-12</w:t>
            </w:r>
          </w:p>
        </w:tc>
        <w:tc>
          <w:tcPr>
            <w:tcW w:type="dxa" w:w="3628"/>
          </w:tcPr>
          <w:p>
            <w:r>
              <w:t>2025-12</w:t>
            </w:r>
          </w:p>
        </w:tc>
        <w:tc>
          <w:tcPr>
            <w:tcW w:type="dxa" w:w="3628"/>
          </w:tcPr>
          <w:p>
            <w:r>
              <w:t>2025-12</w:t>
            </w:r>
          </w:p>
        </w:tc>
      </w:tr>
      <w:tr>
        <w:tc>
          <w:tcPr>
            <w:tcW w:type="dxa" w:w="2092"/>
          </w:tcPr>
          <w:p>
            <w:r>
              <w:t>2026-06</w:t>
            </w:r>
          </w:p>
        </w:tc>
        <w:tc>
          <w:tcPr>
            <w:tcW w:type="dxa" w:w="3628"/>
          </w:tcPr>
          <w:p>
            <w:r>
              <w:t>2026-06</w:t>
            </w:r>
          </w:p>
        </w:tc>
        <w:tc>
          <w:tcPr>
            <w:tcW w:type="dxa" w:w="3628"/>
          </w:tcPr>
          <w:p>
            <w:r>
              <w:t>2026-06</w:t>
            </w:r>
          </w:p>
        </w:tc>
      </w:tr>
      <w:tr>
        <w:tc>
          <w:tcPr>
            <w:tcW w:type="dxa" w:w="2092"/>
          </w:tcPr>
          <w:p>
            <w:r>
              <w:t>2026-12</w:t>
            </w:r>
          </w:p>
        </w:tc>
        <w:tc>
          <w:tcPr>
            <w:tcW w:type="dxa" w:w="3628"/>
          </w:tcPr>
          <w:p>
            <w:r>
              <w:t>2026-12</w:t>
            </w:r>
          </w:p>
        </w:tc>
        <w:tc>
          <w:tcPr>
            <w:tcW w:type="dxa" w:w="3628"/>
          </w:tcPr>
          <w:p>
            <w:r>
              <w:t>2026-12</w:t>
            </w:r>
          </w:p>
        </w:tc>
      </w:tr>
      <w:tr>
        <w:tc>
          <w:tcPr>
            <w:tcW w:type="dxa" w:w="2092"/>
          </w:tcPr>
          <w:p>
            <w:r>
              <w:t>2027-06</w:t>
            </w:r>
          </w:p>
        </w:tc>
        <w:tc>
          <w:tcPr>
            <w:tcW w:type="dxa" w:w="3628"/>
          </w:tcPr>
          <w:p>
            <w:r>
              <w:t>2027-06</w:t>
            </w:r>
          </w:p>
        </w:tc>
        <w:tc>
          <w:tcPr>
            <w:tcW w:type="dxa" w:w="3628"/>
          </w:tcPr>
          <w:p>
            <w:r>
              <w:t>2027-06</w:t>
            </w:r>
          </w:p>
        </w:tc>
      </w:tr>
      <w:tr>
        <w:tc>
          <w:tcPr>
            <w:tcW w:type="dxa" w:w="2092"/>
          </w:tcPr>
          <w:p>
            <w:r>
              <w:t>2027-12</w:t>
            </w:r>
          </w:p>
        </w:tc>
        <w:tc>
          <w:tcPr>
            <w:tcW w:type="dxa" w:w="3628"/>
          </w:tcPr>
          <w:p>
            <w:r>
              <w:t>2027-12</w:t>
            </w:r>
          </w:p>
        </w:tc>
        <w:tc>
          <w:tcPr>
            <w:tcW w:type="dxa" w:w="3628"/>
          </w:tcPr>
          <w:p>
            <w:r>
              <w:t>2027-12</w:t>
            </w:r>
          </w:p>
        </w:tc>
      </w:tr>
      <w:tr>
        <w:tc>
          <w:tcPr>
            <w:tcW w:type="dxa" w:w="2092"/>
          </w:tcPr>
          <w:p>
            <w:r>
              <w:t>2028-06</w:t>
            </w:r>
          </w:p>
        </w:tc>
        <w:tc>
          <w:tcPr>
            <w:tcW w:type="dxa" w:w="3628"/>
          </w:tcPr>
          <w:p>
            <w:r>
              <w:t>2028-06</w:t>
            </w:r>
          </w:p>
        </w:tc>
        <w:tc>
          <w:tcPr>
            <w:tcW w:type="dxa" w:w="3628"/>
          </w:tcPr>
          <w:p>
            <w:r>
              <w:t>2028-06</w:t>
            </w:r>
          </w:p>
        </w:tc>
      </w:tr>
      <w:tr>
        <w:tc>
          <w:tcPr>
            <w:tcW w:type="dxa" w:w="2092"/>
          </w:tcPr>
          <w:p>
            <w:r>
              <w:t>2028-12</w:t>
            </w:r>
          </w:p>
        </w:tc>
        <w:tc>
          <w:tcPr>
            <w:tcW w:type="dxa" w:w="3628"/>
          </w:tcPr>
          <w:p>
            <w:r>
              <w:t>2028-12</w:t>
            </w:r>
          </w:p>
        </w:tc>
        <w:tc>
          <w:tcPr>
            <w:tcW w:type="dxa" w:w="3628"/>
          </w:tcPr>
          <w:p>
            <w:r>
              <w:t>2028-12</w:t>
            </w:r>
          </w:p>
        </w:tc>
      </w:tr>
      <w:tr>
        <w:tc>
          <w:tcPr>
            <w:tcW w:type="dxa" w:w="2092"/>
          </w:tcPr>
          <w:p>
            <w:r>
              <w:t>2029-06</w:t>
            </w:r>
          </w:p>
        </w:tc>
        <w:tc>
          <w:tcPr>
            <w:tcW w:type="dxa" w:w="3628"/>
          </w:tcPr>
          <w:p>
            <w:r>
              <w:t>2029-06</w:t>
            </w:r>
          </w:p>
        </w:tc>
        <w:tc>
          <w:tcPr>
            <w:tcW w:type="dxa" w:w="3628"/>
          </w:tcPr>
          <w:p>
            <w:r>
              <w:t>2029-06</w:t>
            </w:r>
          </w:p>
        </w:tc>
      </w:tr>
      <w:tr>
        <w:tc>
          <w:tcPr>
            <w:tcW w:type="dxa" w:w="2092"/>
          </w:tcPr>
          <w:p>
            <w:r>
              <w:t>2029-12</w:t>
            </w:r>
          </w:p>
        </w:tc>
        <w:tc>
          <w:tcPr>
            <w:tcW w:type="dxa" w:w="3628"/>
          </w:tcPr>
          <w:p>
            <w:r>
              <w:t>2029-12</w:t>
            </w:r>
          </w:p>
        </w:tc>
        <w:tc>
          <w:tcPr>
            <w:tcW w:type="dxa" w:w="3628"/>
          </w:tcPr>
          <w:p>
            <w:r>
              <w:t>2029-12</w:t>
            </w:r>
          </w:p>
        </w:tc>
      </w:tr>
    </w:tbl>
    <w:p>
      <w:r>
        <w:br/>
        <w:br/>
      </w:r>
    </w:p>
    <w:p>
      <w:pPr>
        <w:pStyle w:val="Heading2"/>
      </w:pPr>
      <w:r>
        <w:t>1-2 Commitments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Commitments</w:t>
            </w:r>
          </w:p>
        </w:tc>
      </w:tr>
      <w:tr>
        <w:tc>
          <w:tcPr>
            <w:tcW w:type="dxa" w:w="2659"/>
            <w:shd w:fill="c6d9f1"/>
          </w:tcPr>
          <w:p>
            <w:r>
              <w:t>Field Name FR</w:t>
            </w:r>
          </w:p>
        </w:tc>
        <w:tc>
          <w:tcPr>
            <w:tcW w:type="dxa" w:w="6690"/>
          </w:tcPr>
          <w:p>
            <w:r>
              <w:t>Engagements</w:t>
            </w:r>
          </w:p>
        </w:tc>
      </w:tr>
      <w:tr>
        <w:tc>
          <w:tcPr>
            <w:tcW w:type="dxa" w:w="2659"/>
            <w:shd w:fill="c6d9f1"/>
          </w:tcPr>
          <w:p>
            <w:r>
              <w:t>ID</w:t>
            </w:r>
          </w:p>
        </w:tc>
        <w:tc>
          <w:tcPr>
            <w:tcW w:type="dxa" w:w="6690"/>
          </w:tcPr>
          <w:p>
            <w:r>
              <w:t>commitments</w:t>
            </w:r>
          </w:p>
        </w:tc>
      </w:tr>
      <w:tr>
        <w:tc>
          <w:tcPr>
            <w:tcW w:type="dxa" w:w="2659"/>
            <w:shd w:fill="c6d9f1"/>
          </w:tcPr>
          <w:p>
            <w:r>
              <w:t>Description EN</w:t>
            </w:r>
          </w:p>
        </w:tc>
        <w:tc>
          <w:tcPr>
            <w:tcW w:type="dxa" w:w="6690"/>
          </w:tcPr>
          <w:p>
            <w:r>
              <w:t>The 4 commitments in the 2025-2029 National Action Plan on Open Government</w:t>
            </w:r>
          </w:p>
        </w:tc>
      </w:tr>
      <w:tr>
        <w:tc>
          <w:tcPr>
            <w:tcW w:type="dxa" w:w="2659"/>
            <w:shd w:fill="c6d9f1"/>
          </w:tcPr>
          <w:p>
            <w:r>
              <w:t>Description FR</w:t>
            </w:r>
          </w:p>
        </w:tc>
        <w:tc>
          <w:tcPr>
            <w:tcW w:type="dxa" w:w="6690"/>
          </w:tcPr>
          <w:p>
            <w:r>
              <w:t>Les 4 engagements dans le Plan d'action national du Canada pour un gouvernement ouvert de 2025-2029</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C01</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C01</w:t>
            </w:r>
          </w:p>
        </w:tc>
        <w:tc>
          <w:tcPr>
            <w:tcW w:type="dxa" w:w="3628"/>
          </w:tcPr>
          <w:p>
            <w:r>
              <w:t>Inclusive and meaningful public participation</w:t>
            </w:r>
          </w:p>
        </w:tc>
        <w:tc>
          <w:tcPr>
            <w:tcW w:type="dxa" w:w="3628"/>
          </w:tcPr>
          <w:p>
            <w:r>
              <w:t>Participation inclusive et significative</w:t>
            </w:r>
          </w:p>
        </w:tc>
      </w:tr>
      <w:tr>
        <w:tc>
          <w:tcPr>
            <w:tcW w:type="dxa" w:w="2092"/>
          </w:tcPr>
          <w:p>
            <w:r>
              <w:t>C02</w:t>
            </w:r>
          </w:p>
        </w:tc>
        <w:tc>
          <w:tcPr>
            <w:tcW w:type="dxa" w:w="3628"/>
          </w:tcPr>
          <w:p>
            <w:r>
              <w:t>Protecting civic space and democracy in the digital era</w:t>
            </w:r>
          </w:p>
        </w:tc>
        <w:tc>
          <w:tcPr>
            <w:tcW w:type="dxa" w:w="3628"/>
          </w:tcPr>
          <w:p>
            <w:r>
              <w:t>Protection de l'espace civique et de la démocratie à l'ère du numérique</w:t>
            </w:r>
          </w:p>
        </w:tc>
      </w:tr>
      <w:tr>
        <w:tc>
          <w:tcPr>
            <w:tcW w:type="dxa" w:w="2092"/>
          </w:tcPr>
          <w:p>
            <w:r>
              <w:t>C03</w:t>
            </w:r>
          </w:p>
        </w:tc>
        <w:tc>
          <w:tcPr>
            <w:tcW w:type="dxa" w:w="3628"/>
          </w:tcPr>
          <w:p>
            <w:r>
              <w:t>Anti-corruption, public confidence, and corporate transparency</w:t>
            </w:r>
          </w:p>
        </w:tc>
        <w:tc>
          <w:tcPr>
            <w:tcW w:type="dxa" w:w="3628"/>
          </w:tcPr>
          <w:p>
            <w:r>
              <w:t>Lutte contre la corruption, confiance du public et transparence organisationnelle</w:t>
            </w:r>
          </w:p>
        </w:tc>
      </w:tr>
      <w:tr>
        <w:tc>
          <w:tcPr>
            <w:tcW w:type="dxa" w:w="2092"/>
          </w:tcPr>
          <w:p>
            <w:r>
              <w:t>C04</w:t>
            </w:r>
          </w:p>
        </w:tc>
        <w:tc>
          <w:tcPr>
            <w:tcW w:type="dxa" w:w="3628"/>
          </w:tcPr>
          <w:p>
            <w:r>
              <w:t>Designing inclusive government programs and services</w:t>
            </w:r>
          </w:p>
        </w:tc>
        <w:tc>
          <w:tcPr>
            <w:tcW w:type="dxa" w:w="3628"/>
          </w:tcPr>
          <w:p>
            <w:r>
              <w:t>Conception de programmes et de services gouvernementaux inclusifs</w:t>
            </w:r>
          </w:p>
        </w:tc>
      </w:tr>
    </w:tbl>
    <w:p>
      <w:r>
        <w:br/>
        <w:br/>
      </w:r>
    </w:p>
    <w:p>
      <w:pPr>
        <w:pStyle w:val="Heading2"/>
      </w:pPr>
      <w:r>
        <w:t>1-3 Milestones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Milestones</w:t>
            </w:r>
          </w:p>
        </w:tc>
      </w:tr>
      <w:tr>
        <w:tc>
          <w:tcPr>
            <w:tcW w:type="dxa" w:w="2659"/>
            <w:shd w:fill="c6d9f1"/>
          </w:tcPr>
          <w:p>
            <w:r>
              <w:t>Field Name FR</w:t>
            </w:r>
          </w:p>
        </w:tc>
        <w:tc>
          <w:tcPr>
            <w:tcW w:type="dxa" w:w="6690"/>
          </w:tcPr>
          <w:p>
            <w:r>
              <w:t>Jalons</w:t>
            </w:r>
          </w:p>
        </w:tc>
      </w:tr>
      <w:tr>
        <w:tc>
          <w:tcPr>
            <w:tcW w:type="dxa" w:w="2659"/>
            <w:shd w:fill="c6d9f1"/>
          </w:tcPr>
          <w:p>
            <w:r>
              <w:t>ID</w:t>
            </w:r>
          </w:p>
        </w:tc>
        <w:tc>
          <w:tcPr>
            <w:tcW w:type="dxa" w:w="6690"/>
          </w:tcPr>
          <w:p>
            <w:r>
              <w:t>milestones</w:t>
            </w:r>
          </w:p>
        </w:tc>
      </w:tr>
      <w:tr>
        <w:tc>
          <w:tcPr>
            <w:tcW w:type="dxa" w:w="2659"/>
            <w:shd w:fill="c6d9f1"/>
          </w:tcPr>
          <w:p>
            <w:r>
              <w:t>Description EN</w:t>
            </w:r>
          </w:p>
        </w:tc>
        <w:tc>
          <w:tcPr>
            <w:tcW w:type="dxa" w:w="6690"/>
          </w:tcPr>
          <w:p>
            <w:r>
              <w:t>This list contains milestones that correspond to the chosen commitment</w:t>
            </w:r>
          </w:p>
        </w:tc>
      </w:tr>
      <w:tr>
        <w:tc>
          <w:tcPr>
            <w:tcW w:type="dxa" w:w="2659"/>
            <w:shd w:fill="c6d9f1"/>
          </w:tcPr>
          <w:p>
            <w:r>
              <w:t>Description FR</w:t>
            </w:r>
          </w:p>
        </w:tc>
        <w:tc>
          <w:tcPr>
            <w:tcW w:type="dxa" w:w="6690"/>
          </w:tcPr>
          <w:p>
            <w:r>
              <w:t>Cette liste contient des jalons correspondant à l'engagement choisi</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C01.1</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C01.1</w:t>
            </w:r>
          </w:p>
        </w:tc>
        <w:tc>
          <w:tcPr>
            <w:tcW w:type="dxa" w:w="3628"/>
          </w:tcPr>
          <w:p>
            <w:r>
              <w:t>Establish a multi-collaborator forum at the RCMP, made up of people from non-governmental organizations; other government departments; the private sector; academia; and community representatives, including Indigenous people, 2SLBGTQIA+ people and youth to discuss priorities and areas of focus for openness and transparency in the RCMP.</w:t>
            </w:r>
          </w:p>
        </w:tc>
        <w:tc>
          <w:tcPr>
            <w:tcW w:type="dxa" w:w="3628"/>
          </w:tcPr>
          <w:p>
            <w:r>
              <w:t>Établir un Forum multi-intervenants au sein de la GRC qui serait composé de représentants d'organisations non gouvernementales, d'autres ministères, du secteur privé, des universités et de communautés, y compris des représentants autochtones, des personnes faisant partie de la communauté 2ELGBTQQIA+ et des jeunes, pour discuter des priorités et des domaines d'intérêt en matière d'ouverture et de transparence à la GRC.</w:t>
            </w:r>
          </w:p>
        </w:tc>
      </w:tr>
      <w:tr>
        <w:tc>
          <w:tcPr>
            <w:tcW w:type="dxa" w:w="2092"/>
          </w:tcPr>
          <w:p>
            <w:r>
              <w:t>C01.2</w:t>
            </w:r>
          </w:p>
        </w:tc>
        <w:tc>
          <w:tcPr>
            <w:tcW w:type="dxa" w:w="3628"/>
          </w:tcPr>
          <w:p>
            <w:r>
              <w:t>Establish a feedback loop using an enterprise-wide consultation platform to gather input from racialized communities on the methods the RCMP's Hate Crimes Task Force is recommending to provincial and municipal law enforcement.</w:t>
            </w:r>
          </w:p>
        </w:tc>
        <w:tc>
          <w:tcPr>
            <w:tcW w:type="dxa" w:w="3628"/>
          </w:tcPr>
          <w:p>
            <w:r>
              <w:t>Mettre en place une boucle de rétroaction au moyen d'une plateforme de consultation pangouvernementale permettant de recueillir les commentaires des communautés racisées sur les méthodes que le Groupe de travail sur les crimes haineux de la GRC recommande aux organismes provinciaux et municipaux d'application de la loi.</w:t>
            </w:r>
          </w:p>
        </w:tc>
      </w:tr>
      <w:tr>
        <w:tc>
          <w:tcPr>
            <w:tcW w:type="dxa" w:w="2092"/>
          </w:tcPr>
          <w:p>
            <w:r>
              <w:t>C01.3</w:t>
            </w:r>
          </w:p>
        </w:tc>
        <w:tc>
          <w:tcPr>
            <w:tcW w:type="dxa" w:w="3628"/>
          </w:tcPr>
          <w:p>
            <w:r>
              <w:t>Contribute to Working Group on Indigenous Data Sovereignty</w:t>
            </w:r>
          </w:p>
        </w:tc>
        <w:tc>
          <w:tcPr>
            <w:tcW w:type="dxa" w:w="3628"/>
          </w:tcPr>
          <w:p>
            <w:r>
              <w:t>Participer au Groupe de travail sur la souveraineté des Autochtones en matière de données.</w:t>
            </w:r>
          </w:p>
        </w:tc>
      </w:tr>
      <w:tr>
        <w:tc>
          <w:tcPr>
            <w:tcW w:type="dxa" w:w="2092"/>
          </w:tcPr>
          <w:p>
            <w:r>
              <w:t>C01.4</w:t>
            </w:r>
          </w:p>
        </w:tc>
        <w:tc>
          <w:tcPr>
            <w:tcW w:type="dxa" w:w="3628"/>
          </w:tcPr>
          <w:p>
            <w:r>
              <w:t>Increase public participation through a maturity model framework</w:t>
            </w:r>
          </w:p>
        </w:tc>
        <w:tc>
          <w:tcPr>
            <w:tcW w:type="dxa" w:w="3628"/>
          </w:tcPr>
          <w:p>
            <w:r>
              <w:t>Accroître la participation du public au moyen d'un cadre de modèle de maturité.</w:t>
            </w:r>
          </w:p>
        </w:tc>
      </w:tr>
      <w:tr>
        <w:tc>
          <w:tcPr>
            <w:tcW w:type="dxa" w:w="2092"/>
          </w:tcPr>
          <w:p>
            <w:r>
              <w:t>C01.5</w:t>
            </w:r>
          </w:p>
        </w:tc>
        <w:tc>
          <w:tcPr>
            <w:tcW w:type="dxa" w:w="3628"/>
          </w:tcPr>
          <w:p>
            <w:r>
              <w:t>Foster meaningful public engagement throughout the federal science ecosystem by reducing barriers to the integration and promotion of citizen-science methods across the Government of Canada</w:t>
            </w:r>
          </w:p>
        </w:tc>
        <w:tc>
          <w:tcPr>
            <w:tcW w:type="dxa" w:w="3628"/>
          </w:tcPr>
          <w:p>
            <w:r>
              <w:t>Favoriser une participation significative du public dans l'ensemble de l'écosystème scientifique fédéral en réduisant les obstacles à l'intégration et à la promotion des méthodes de science citoyenne à l'échelle du gouvernement du Canada.</w:t>
            </w:r>
          </w:p>
        </w:tc>
      </w:tr>
      <w:tr>
        <w:tc>
          <w:tcPr>
            <w:tcW w:type="dxa" w:w="2092"/>
          </w:tcPr>
          <w:p>
            <w:r>
              <w:t>C01.6</w:t>
            </w:r>
          </w:p>
        </w:tc>
        <w:tc>
          <w:tcPr>
            <w:tcW w:type="dxa" w:w="3628"/>
          </w:tcPr>
          <w:p>
            <w:r>
              <w:t>Proactively address Indigenous organizations' data needs, when feasible, to improve efficiency and increase transparency</w:t>
            </w:r>
          </w:p>
        </w:tc>
        <w:tc>
          <w:tcPr>
            <w:tcW w:type="dxa" w:w="3628"/>
          </w:tcPr>
          <w:p>
            <w:r>
              <w:t>Dans la mesure du possible, combler de façon proactive les besoins en données des organisations autochtones afin d'accroître l'efficacité et la transparence.</w:t>
            </w:r>
          </w:p>
        </w:tc>
      </w:tr>
      <w:tr>
        <w:tc>
          <w:tcPr>
            <w:tcW w:type="dxa" w:w="2092"/>
          </w:tcPr>
          <w:p>
            <w:r>
              <w:t>C01.7</w:t>
            </w:r>
          </w:p>
        </w:tc>
        <w:tc>
          <w:tcPr>
            <w:tcW w:type="dxa" w:w="3628"/>
          </w:tcPr>
          <w:p>
            <w:r>
              <w:t>Establish an internal working group at VAC to identify and act on opportunities to promote open government at VAC</w:t>
            </w:r>
          </w:p>
        </w:tc>
        <w:tc>
          <w:tcPr>
            <w:tcW w:type="dxa" w:w="3628"/>
          </w:tcPr>
          <w:p>
            <w:r>
              <w:t>Former un groupe de travail interne au sein d'ACC chargé de cerner et de mettre en oeuvre les occasions de promouvoir le gouvernement ouvert dans ACC.</w:t>
            </w:r>
          </w:p>
        </w:tc>
      </w:tr>
      <w:tr>
        <w:tc>
          <w:tcPr>
            <w:tcW w:type="dxa" w:w="2092"/>
          </w:tcPr>
          <w:p>
            <w:r>
              <w:t>C02.1</w:t>
            </w:r>
          </w:p>
        </w:tc>
        <w:tc>
          <w:tcPr>
            <w:tcW w:type="dxa" w:w="3628"/>
          </w:tcPr>
          <w:p>
            <w:r>
              <w:t>Establish an organization-wide approach to conducting public participation activities with Canadian communities. Engage with communities on a wide variety of topics and encourage feedback at multiple levels to demonstrate the RCMP's commitment to the principles in the Government of Canada (GC) Digital Standards: Playbook</w:t>
            </w:r>
          </w:p>
        </w:tc>
        <w:tc>
          <w:tcPr>
            <w:tcW w:type="dxa" w:w="3628"/>
          </w:tcPr>
          <w:p>
            <w:r>
              <w:t>Mettre en place une approche pangouvernementale pour la réalisation d'activités de participation publique auprès des communautés canadiennes. Mobiliser les communautés sur un grand nombre de sujets et encourager la rétroaction à plusieurs niveaux pour démontrer l'engagement de la GRC envers les principes figurant dans les Normes relatives au numérique du gouvernement du Canada : Directives.</w:t>
            </w:r>
          </w:p>
        </w:tc>
      </w:tr>
      <w:tr>
        <w:tc>
          <w:tcPr>
            <w:tcW w:type="dxa" w:w="2092"/>
          </w:tcPr>
          <w:p>
            <w:r>
              <w:t>C02.2</w:t>
            </w:r>
          </w:p>
        </w:tc>
        <w:tc>
          <w:tcPr>
            <w:tcW w:type="dxa" w:w="3628"/>
          </w:tcPr>
          <w:p>
            <w:r>
              <w:t>Improve the effectiveness of the Digital Citizen Initiative</w:t>
            </w:r>
          </w:p>
        </w:tc>
        <w:tc>
          <w:tcPr>
            <w:tcW w:type="dxa" w:w="3628"/>
          </w:tcPr>
          <w:p>
            <w:r>
              <w:t>Accroître l'efficacité de l'Initiative de citoyenneté numérique.</w:t>
            </w:r>
          </w:p>
        </w:tc>
      </w:tr>
      <w:tr>
        <w:tc>
          <w:tcPr>
            <w:tcW w:type="dxa" w:w="2092"/>
          </w:tcPr>
          <w:p>
            <w:r>
              <w:t>C02.3</w:t>
            </w:r>
          </w:p>
        </w:tc>
        <w:tc>
          <w:tcPr>
            <w:tcW w:type="dxa" w:w="3628"/>
          </w:tcPr>
          <w:p>
            <w:r>
              <w:t>Increase Canadians' access to government information</w:t>
            </w:r>
          </w:p>
        </w:tc>
        <w:tc>
          <w:tcPr>
            <w:tcW w:type="dxa" w:w="3628"/>
          </w:tcPr>
          <w:p>
            <w:r>
              <w:t>Accroître l'accès des Canadiens à l'information gouvernementale.</w:t>
            </w:r>
          </w:p>
        </w:tc>
      </w:tr>
      <w:tr>
        <w:tc>
          <w:tcPr>
            <w:tcW w:type="dxa" w:w="2092"/>
          </w:tcPr>
          <w:p>
            <w:r>
              <w:t>C03.1</w:t>
            </w:r>
          </w:p>
        </w:tc>
        <w:tc>
          <w:tcPr>
            <w:tcW w:type="dxa" w:w="3628"/>
          </w:tcPr>
          <w:p>
            <w:r>
              <w:t>Disclose crime occurrence data and calls for service received through the Police Reporting and Occurrence System (PROS)</w:t>
            </w:r>
          </w:p>
        </w:tc>
        <w:tc>
          <w:tcPr>
            <w:tcW w:type="dxa" w:w="3628"/>
          </w:tcPr>
          <w:p>
            <w:r>
              <w:t>Communiquer les données sur les crimes commis et les appels de service reçus par l'intermédiaire du Système d'incidents et de rapports de police.</w:t>
            </w:r>
          </w:p>
        </w:tc>
      </w:tr>
      <w:tr>
        <w:tc>
          <w:tcPr>
            <w:tcW w:type="dxa" w:w="2092"/>
          </w:tcPr>
          <w:p>
            <w:r>
              <w:t>C03.2</w:t>
            </w:r>
          </w:p>
        </w:tc>
        <w:tc>
          <w:tcPr>
            <w:tcW w:type="dxa" w:w="3628"/>
          </w:tcPr>
          <w:p>
            <w:r>
              <w:t>Consolidate key data from the Creative Export Strategy into one user-friendly interface that is interactive and accessible</w:t>
            </w:r>
          </w:p>
        </w:tc>
        <w:tc>
          <w:tcPr>
            <w:tcW w:type="dxa" w:w="3628"/>
          </w:tcPr>
          <w:p>
            <w:r>
              <w:t>Regrouper les données clés de la Stratégie d'exportation créative en une seule interface conviviale, interactive et accessible.</w:t>
            </w:r>
          </w:p>
        </w:tc>
      </w:tr>
      <w:tr>
        <w:tc>
          <w:tcPr>
            <w:tcW w:type="dxa" w:w="2092"/>
          </w:tcPr>
          <w:p>
            <w:r>
              <w:t>C03.3</w:t>
            </w:r>
          </w:p>
        </w:tc>
        <w:tc>
          <w:tcPr>
            <w:tcW w:type="dxa" w:w="3628"/>
          </w:tcPr>
          <w:p>
            <w:r>
              <w:t>Publish a Government of Canada Artificial Intelligence (AI) Register that would include information about what and how data is being used, how the AI model was trained, and what quality assurance, accountability, success metrics, bias identification and mitigation, and privacy and security measures are in place</w:t>
            </w:r>
          </w:p>
        </w:tc>
        <w:tc>
          <w:tcPr>
            <w:tcW w:type="dxa" w:w="3628"/>
          </w:tcPr>
          <w:p>
            <w:r>
              <w:t>Publier un registre de l'intelligence artificielle (IA) du gouvernement du Canada qui contiendrait des renseignements sur les données qui sont utilisées et la façon dont celles-ci sont utilisées, sur la façon dont le modèle d'IA a été entraîné, ainsi que sur l'assurance de la qualité, la responsabilisation, les indicateurs de réussite, la détermination et l'atténuation des préjugés, et les mesures de sécurité et de protection de la vie privée en place.</w:t>
            </w:r>
          </w:p>
        </w:tc>
      </w:tr>
      <w:tr>
        <w:tc>
          <w:tcPr>
            <w:tcW w:type="dxa" w:w="2092"/>
          </w:tcPr>
          <w:p>
            <w:r>
              <w:t>C03.4</w:t>
            </w:r>
          </w:p>
        </w:tc>
        <w:tc>
          <w:tcPr>
            <w:tcW w:type="dxa" w:w="3628"/>
          </w:tcPr>
          <w:p>
            <w:r>
              <w:t>Advance trust and transparency for the Government of Canada's human resources (HR) and pay transformation</w:t>
            </w:r>
          </w:p>
        </w:tc>
        <w:tc>
          <w:tcPr>
            <w:tcW w:type="dxa" w:w="3628"/>
          </w:tcPr>
          <w:p>
            <w:r>
              <w:t>Accroître la confiance et la transparence par rapport à la transformation des ressources humaines (RH) et de la paye du gouvernement du Canada.</w:t>
            </w:r>
          </w:p>
        </w:tc>
      </w:tr>
      <w:tr>
        <w:tc>
          <w:tcPr>
            <w:tcW w:type="dxa" w:w="2092"/>
          </w:tcPr>
          <w:p>
            <w:r>
              <w:t>C04.1</w:t>
            </w:r>
          </w:p>
        </w:tc>
        <w:tc>
          <w:tcPr>
            <w:tcW w:type="dxa" w:w="3628"/>
          </w:tcPr>
          <w:p>
            <w:r>
              <w:t>Align the "open-by- default" and "secure-by- design" approaches to advance Indigenous and information sovereignty and limit legislative barriers through proactive disclosure to facilitate greater information sharing with Indigenous communities</w:t>
            </w:r>
          </w:p>
        </w:tc>
        <w:tc>
          <w:tcPr>
            <w:tcW w:type="dxa" w:w="3628"/>
          </w:tcPr>
          <w:p>
            <w:r>
              <w:t>Harmoniser les approches d'« ouverture par défaut » et de « sécurité dès la conception » afin de faire progresser la souveraineté autochtone et en matière d'information, et de limiter les obstacles législatifs au moyen de la communication proactive afin de faciliter un meilleur échange d'information avec les communautés autochtones.</w:t>
            </w:r>
          </w:p>
        </w:tc>
      </w:tr>
      <w:tr>
        <w:tc>
          <w:tcPr>
            <w:tcW w:type="dxa" w:w="2092"/>
          </w:tcPr>
          <w:p>
            <w:r>
              <w:t>C04.2</w:t>
            </w:r>
          </w:p>
        </w:tc>
        <w:tc>
          <w:tcPr>
            <w:tcW w:type="dxa" w:w="3628"/>
          </w:tcPr>
          <w:p>
            <w:r>
              <w:t>Develop a targeted learning series on open data for use by federal public servants</w:t>
            </w:r>
          </w:p>
        </w:tc>
        <w:tc>
          <w:tcPr>
            <w:tcW w:type="dxa" w:w="3628"/>
          </w:tcPr>
          <w:p>
            <w:r>
              <w:t>Préparer un programme d'apprentissage ciblé sur les données ouvertes à l'intention des fonctionnaires fédéraux.</w:t>
            </w:r>
          </w:p>
        </w:tc>
      </w:tr>
      <w:tr>
        <w:tc>
          <w:tcPr>
            <w:tcW w:type="dxa" w:w="2092"/>
          </w:tcPr>
          <w:p>
            <w:r>
              <w:t>C04.3</w:t>
            </w:r>
          </w:p>
        </w:tc>
        <w:tc>
          <w:tcPr>
            <w:tcW w:type="dxa" w:w="3628"/>
          </w:tcPr>
          <w:p>
            <w:r>
              <w:t>Monitor Canadians' experiences with serious legal problems and enhance the Department of Justice Canada's understanding of effective responses using findings from the National Justice Survey and Serious Legal Problems in Canada</w:t>
              <w:br/>
              <w:br/>
              <w:t>Publish findings from the National Justice Survey and from Statistics Canada's Canadian Legal Problems Survey (CLPS), in user-friendly formats (for example, infographics or a simple dashboard).</w:t>
              <w:br/>
              <w:br/>
              <w:t>Use the National Justice Survey data to inform decision-making both by the Department of Justice Canada and by key external stakeholders.</w:t>
              <w:br/>
            </w:r>
          </w:p>
        </w:tc>
        <w:tc>
          <w:tcPr>
            <w:tcW w:type="dxa" w:w="3628"/>
          </w:tcPr>
          <w:p>
            <w:r>
              <w:t>Faire le suivi de l'expérience des Canadiens aux prises avec des problèmes juridiques graves et approfondir la compréhension qu'a le ministère de la Justice Canada des réponses efficaces, en s'appuyant sur les résultats du Sondage national sur la justice et de l'Enquête canadienne sur les problèmes juridiques.</w:t>
              <w:br/>
              <w:br/>
              <w:t>Publier les résultats du Sondage national sur la justice et de l'Enquête canadienne sur les problèmes juridiques de Statistique Canada dans des formats conviviaux (par exemple, infographies ou tableau de bord simple).</w:t>
              <w:br/>
              <w:br/>
              <w:t>Utiliser les données du Sondage national sur la justice pour éclairer le processus décisionnel du ministère de la Justice Canada et des principaux intervenants externes.</w:t>
              <w:br/>
            </w:r>
          </w:p>
        </w:tc>
      </w:tr>
      <w:tr>
        <w:tc>
          <w:tcPr>
            <w:tcW w:type="dxa" w:w="2092"/>
          </w:tcPr>
          <w:p>
            <w:r>
              <w:t>C04.4</w:t>
            </w:r>
          </w:p>
        </w:tc>
        <w:tc>
          <w:tcPr>
            <w:tcW w:type="dxa" w:w="3628"/>
          </w:tcPr>
          <w:p>
            <w:r>
              <w:t>Update Justice Canada's State of the Criminal Justice System Dashboard and pursue the automation of updates to support easier dissemination of data to the public.</w:t>
              <w:br/>
              <w:br/>
              <w:t>Explore, in collaboration with key partners, the possibility of expanding the indicators in the Department of Justice Canada's State of the Criminal Justice System dashboard to include available disaggregated data related to court delays and other key justice system issues.</w:t>
              <w:br/>
            </w:r>
          </w:p>
        </w:tc>
        <w:tc>
          <w:tcPr>
            <w:tcW w:type="dxa" w:w="3628"/>
          </w:tcPr>
          <w:p>
            <w:r>
              <w:t>Mettre à jour le Tableau de bord sur l'état du système de justice pénale du ministère de la Justice Canada et automatiser les mises à jour pour faciliter la diffusion des données au public.</w:t>
              <w:br/>
              <w:br/>
              <w:t>Explorer, en collaboration avec les partenaires clés, la possibilité d'élargir les indicateurs du Tableau de bord sur l'état du système de justice pénale du ministère de la Justice Canada pour y inclure les données désagrégées disponibles concernant les retards judiciaires et d'autres enjeux importants du système de justice.</w:t>
              <w:br/>
            </w:r>
          </w:p>
        </w:tc>
      </w:tr>
      <w:tr>
        <w:tc>
          <w:tcPr>
            <w:tcW w:type="dxa" w:w="2092"/>
          </w:tcPr>
          <w:p>
            <w:r>
              <w:t>C04.5</w:t>
            </w:r>
          </w:p>
        </w:tc>
        <w:tc>
          <w:tcPr>
            <w:tcW w:type="dxa" w:w="3628"/>
          </w:tcPr>
          <w:p>
            <w:r>
              <w:t>Support the design and delivery of accessible administrative services.</w:t>
            </w:r>
          </w:p>
        </w:tc>
        <w:tc>
          <w:tcPr>
            <w:tcW w:type="dxa" w:w="3628"/>
          </w:tcPr>
          <w:p>
            <w:r>
              <w:t>Appuyer la conception et la prestation de services administratifs accessibles.</w:t>
            </w:r>
          </w:p>
        </w:tc>
      </w:tr>
    </w:tbl>
    <w:p>
      <w:r>
        <w:br/>
        <w:br/>
      </w:r>
    </w:p>
    <w:p>
      <w:pPr>
        <w:pStyle w:val="Heading2"/>
      </w:pPr>
      <w:r>
        <w:t>1-4 Indicators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Indicators</w:t>
            </w:r>
          </w:p>
        </w:tc>
      </w:tr>
      <w:tr>
        <w:tc>
          <w:tcPr>
            <w:tcW w:type="dxa" w:w="2659"/>
            <w:shd w:fill="c6d9f1"/>
          </w:tcPr>
          <w:p>
            <w:r>
              <w:t>Field Name FR</w:t>
            </w:r>
          </w:p>
        </w:tc>
        <w:tc>
          <w:tcPr>
            <w:tcW w:type="dxa" w:w="6690"/>
          </w:tcPr>
          <w:p>
            <w:r>
              <w:t>Indicateurs</w:t>
            </w:r>
          </w:p>
        </w:tc>
      </w:tr>
      <w:tr>
        <w:tc>
          <w:tcPr>
            <w:tcW w:type="dxa" w:w="2659"/>
            <w:shd w:fill="c6d9f1"/>
          </w:tcPr>
          <w:p>
            <w:r>
              <w:t>ID</w:t>
            </w:r>
          </w:p>
        </w:tc>
        <w:tc>
          <w:tcPr>
            <w:tcW w:type="dxa" w:w="6690"/>
          </w:tcPr>
          <w:p>
            <w:r>
              <w:t>indicators</w:t>
            </w:r>
          </w:p>
        </w:tc>
      </w:tr>
      <w:tr>
        <w:tc>
          <w:tcPr>
            <w:tcW w:type="dxa" w:w="2659"/>
            <w:shd w:fill="c6d9f1"/>
          </w:tcPr>
          <w:p>
            <w:r>
              <w:t>Description EN</w:t>
            </w:r>
          </w:p>
        </w:tc>
        <w:tc>
          <w:tcPr>
            <w:tcW w:type="dxa" w:w="6690"/>
          </w:tcPr>
          <w:p>
            <w:r>
              <w:t>The indicators related to the chosen milestone</w:t>
            </w:r>
          </w:p>
        </w:tc>
      </w:tr>
      <w:tr>
        <w:tc>
          <w:tcPr>
            <w:tcW w:type="dxa" w:w="2659"/>
            <w:shd w:fill="c6d9f1"/>
          </w:tcPr>
          <w:p>
            <w:r>
              <w:t>Description FR</w:t>
            </w:r>
          </w:p>
        </w:tc>
        <w:tc>
          <w:tcPr>
            <w:tcW w:type="dxa" w:w="6690"/>
          </w:tcPr>
          <w:p>
            <w:r>
              <w:t>Les indicateurs liés au jalon choisi</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C01.1.1</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C01.1.1</w:t>
            </w:r>
          </w:p>
        </w:tc>
        <w:tc>
          <w:tcPr>
            <w:tcW w:type="dxa" w:w="3628"/>
          </w:tcPr>
          <w:p>
            <w:r>
              <w:t>Draft a strategic plan to establish a multi-collaborator forum. The draft strategic plan outlines the role and mandate of, and the context behind, the creation of the consultation body.</w:t>
            </w:r>
          </w:p>
        </w:tc>
        <w:tc>
          <w:tcPr>
            <w:tcW w:type="dxa" w:w="3628"/>
          </w:tcPr>
          <w:p>
            <w:r>
              <w:t>Rédiger un plan stratégique pour établir un Forum multi-intervenants. L'ébauche de plan stratégique décrit le rôle et le mandat de l'organisme de consultation, ainsi que le contexte dans lequel il a été créé.</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C01.1.1</w:t>
                  </w:r>
                </w:p>
              </w:tc>
              <w:tc>
                <w:tcPr>
                  <w:tcW w:type="dxa" w:w="7257"/>
                  <w:shd w:fill="ddd8e8"/>
                </w:tcPr>
                <w:p>
                  <w:r>
                    <w:t>Extra Value</w:t>
                  </w:r>
                </w:p>
              </w:tc>
            </w:tr>
            <w:tr>
              <w:tc>
                <w:tcPr>
                  <w:tcW w:type="dxa" w:w="2092"/>
                  <w:shd w:fill="e3e3e3"/>
                </w:tcPr>
                <w:p>
                  <w:r>
                    <w:t>Deadline (English)</w:t>
                  </w:r>
                </w:p>
              </w:tc>
              <w:tc>
                <w:tcPr>
                  <w:tcW w:type="dxa" w:w="7257"/>
                </w:tcPr>
                <w:p>
                  <w:r>
                    <w:t>Fall 2027</w:t>
                  </w:r>
                </w:p>
              </w:tc>
            </w:tr>
            <w:tr>
              <w:tc>
                <w:tcPr>
                  <w:tcW w:type="dxa" w:w="2092"/>
                  <w:shd w:fill="e3e3e3"/>
                </w:tcPr>
                <w:p>
                  <w:r>
                    <w:t>Deadline (French)</w:t>
                  </w:r>
                </w:p>
              </w:tc>
              <w:tc>
                <w:tcPr>
                  <w:tcW w:type="dxa" w:w="7257"/>
                </w:tcPr>
                <w:p>
                  <w:r>
                    <w:t>Automne 2027</w:t>
                  </w:r>
                </w:p>
              </w:tc>
            </w:tr>
            <w:tr>
              <w:tc>
                <w:tcPr>
                  <w:tcW w:type="dxa" w:w="2092"/>
                  <w:shd w:fill="e3e3e3"/>
                </w:tcPr>
                <w:p>
                  <w:r>
                    <w:t>Lead Department</w:t>
                  </w:r>
                </w:p>
              </w:tc>
              <w:tc>
                <w:tcPr>
                  <w:tcW w:type="dxa" w:w="7257"/>
                </w:tcPr>
                <w:p>
                  <w:r>
                    <w:t>rcmp-grc</w:t>
                  </w:r>
                </w:p>
              </w:tc>
            </w:tr>
          </w:tbl>
          <w:p/>
        </w:tc>
      </w:tr>
      <w:tr>
        <w:tc>
          <w:tcPr>
            <w:tcW w:type="dxa" w:w="2092"/>
          </w:tcPr>
          <w:p>
            <w:r>
              <w:t>C01.1.2</w:t>
            </w:r>
          </w:p>
        </w:tc>
        <w:tc>
          <w:tcPr>
            <w:tcW w:type="dxa" w:w="3628"/>
          </w:tcPr>
          <w:p>
            <w:r>
              <w:t>Conduct a three-week consultation with communities across Canada to gather feedback on the strategic plan.</w:t>
            </w:r>
          </w:p>
        </w:tc>
        <w:tc>
          <w:tcPr>
            <w:tcW w:type="dxa" w:w="3628"/>
          </w:tcPr>
          <w:p>
            <w:r>
              <w:t>Mener une consultation de trois semaines auprès de communautés de partout au Canada pour recueillir des commentaires sur le plan stratégique.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C01.1.2</w:t>
                  </w:r>
                </w:p>
              </w:tc>
              <w:tc>
                <w:tcPr>
                  <w:tcW w:type="dxa" w:w="7257"/>
                  <w:shd w:fill="ddd8e8"/>
                </w:tcPr>
                <w:p>
                  <w:r>
                    <w:t>Extra Value</w:t>
                  </w:r>
                </w:p>
              </w:tc>
            </w:tr>
            <w:tr>
              <w:tc>
                <w:tcPr>
                  <w:tcW w:type="dxa" w:w="2092"/>
                  <w:shd w:fill="e3e3e3"/>
                </w:tcPr>
                <w:p>
                  <w:r>
                    <w:t>Deadline (English)</w:t>
                  </w:r>
                </w:p>
              </w:tc>
              <w:tc>
                <w:tcPr>
                  <w:tcW w:type="dxa" w:w="7257"/>
                </w:tcPr>
                <w:p>
                  <w:r>
                    <w:t>By winter 2025</w:t>
                  </w:r>
                </w:p>
              </w:tc>
            </w:tr>
            <w:tr>
              <w:tc>
                <w:tcPr>
                  <w:tcW w:type="dxa" w:w="2092"/>
                  <w:shd w:fill="e3e3e3"/>
                </w:tcPr>
                <w:p>
                  <w:r>
                    <w:t>Deadline (French)</w:t>
                  </w:r>
                </w:p>
              </w:tc>
              <w:tc>
                <w:tcPr>
                  <w:tcW w:type="dxa" w:w="7257"/>
                </w:tcPr>
                <w:p>
                  <w:r>
                    <w:t>D'ici l'hiver 2025</w:t>
                  </w:r>
                </w:p>
              </w:tc>
            </w:tr>
            <w:tr>
              <w:tc>
                <w:tcPr>
                  <w:tcW w:type="dxa" w:w="2092"/>
                  <w:shd w:fill="e3e3e3"/>
                </w:tcPr>
                <w:p>
                  <w:r>
                    <w:t>Lead Department</w:t>
                  </w:r>
                </w:p>
              </w:tc>
              <w:tc>
                <w:tcPr>
                  <w:tcW w:type="dxa" w:w="7257"/>
                </w:tcPr>
                <w:p>
                  <w:r>
                    <w:t>rcmp-grc</w:t>
                  </w:r>
                </w:p>
              </w:tc>
            </w:tr>
          </w:tbl>
          <w:p/>
        </w:tc>
      </w:tr>
      <w:tr>
        <w:tc>
          <w:tcPr>
            <w:tcW w:type="dxa" w:w="2092"/>
          </w:tcPr>
          <w:p>
            <w:r>
              <w:t>C01.1.3</w:t>
            </w:r>
          </w:p>
        </w:tc>
        <w:tc>
          <w:tcPr>
            <w:tcW w:type="dxa" w:w="3628"/>
          </w:tcPr>
          <w:p>
            <w:r>
              <w:t>Analyze the feedback received during the consultation period, incorporate it into the final draft of the strategic plan and publish the strategic plan as an open asset (in other words, designed for reuse in future initiatives).</w:t>
            </w:r>
          </w:p>
        </w:tc>
        <w:tc>
          <w:tcPr>
            <w:tcW w:type="dxa" w:w="3628"/>
          </w:tcPr>
          <w:p>
            <w:r>
              <w:t>Analyser les commentaires reçus durant la période de consultation, les intégrer à la version finale du plan stratégique et publier le plan stratégique en tant qu'actif ouvert (autrement dit, conçu pour être réutilisé dans des initiatives futures).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C01.1.3</w:t>
                  </w:r>
                </w:p>
              </w:tc>
              <w:tc>
                <w:tcPr>
                  <w:tcW w:type="dxa" w:w="7257"/>
                  <w:shd w:fill="ddd8e8"/>
                </w:tcPr>
                <w:p>
                  <w:r>
                    <w:t>Extra Value</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C01.1.4</w:t>
            </w:r>
          </w:p>
        </w:tc>
        <w:tc>
          <w:tcPr>
            <w:tcW w:type="dxa" w:w="3628"/>
          </w:tcPr>
          <w:p>
            <w:r>
              <w:t>Set up the multi-collaborator forum (that is, decide on nomination criteria, governance structure, engagement approach, and so on).</w:t>
            </w:r>
          </w:p>
        </w:tc>
        <w:tc>
          <w:tcPr>
            <w:tcW w:type="dxa" w:w="3628"/>
          </w:tcPr>
          <w:p>
            <w:r>
              <w:t>Mettre en place le Forum multi-intervenants (par exemple, déterminer les critères de mise en candidature, la structure de gouvernance, l'approche en matière d'engagement).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C01.1.4</w:t>
                  </w:r>
                </w:p>
              </w:tc>
              <w:tc>
                <w:tcPr>
                  <w:tcW w:type="dxa" w:w="7257"/>
                  <w:shd w:fill="ddd8e8"/>
                </w:tcPr>
                <w:p>
                  <w:r>
                    <w:t>Extra Value</w:t>
                  </w:r>
                </w:p>
              </w:tc>
            </w:tr>
            <w:tr>
              <w:tc>
                <w:tcPr>
                  <w:tcW w:type="dxa" w:w="2092"/>
                  <w:shd w:fill="e3e3e3"/>
                </w:tcPr>
                <w:p>
                  <w:r>
                    <w:t>Deadline (English)</w:t>
                  </w:r>
                </w:p>
              </w:tc>
              <w:tc>
                <w:tcPr>
                  <w:tcW w:type="dxa" w:w="7257"/>
                </w:tcPr>
                <w:p>
                  <w:r>
                    <w:t>By fall 2028</w:t>
                  </w:r>
                </w:p>
              </w:tc>
            </w:tr>
            <w:tr>
              <w:tc>
                <w:tcPr>
                  <w:tcW w:type="dxa" w:w="2092"/>
                  <w:shd w:fill="e3e3e3"/>
                </w:tcPr>
                <w:p>
                  <w:r>
                    <w:t>Deadline (French)</w:t>
                  </w:r>
                </w:p>
              </w:tc>
              <w:tc>
                <w:tcPr>
                  <w:tcW w:type="dxa" w:w="7257"/>
                </w:tcPr>
                <w:p>
                  <w:r>
                    <w:t>D'ici l'automne 2028</w:t>
                  </w:r>
                </w:p>
              </w:tc>
            </w:tr>
            <w:tr>
              <w:tc>
                <w:tcPr>
                  <w:tcW w:type="dxa" w:w="2092"/>
                  <w:shd w:fill="e3e3e3"/>
                </w:tcPr>
                <w:p>
                  <w:r>
                    <w:t>Lead Department</w:t>
                  </w:r>
                </w:p>
              </w:tc>
              <w:tc>
                <w:tcPr>
                  <w:tcW w:type="dxa" w:w="7257"/>
                </w:tcPr>
                <w:p>
                  <w:r>
                    <w:t>rcmp-grc</w:t>
                  </w:r>
                </w:p>
              </w:tc>
            </w:tr>
          </w:tbl>
          <w:p/>
        </w:tc>
      </w:tr>
      <w:tr>
        <w:tc>
          <w:tcPr>
            <w:tcW w:type="dxa" w:w="2092"/>
          </w:tcPr>
          <w:p>
            <w:r>
              <w:t>C01.1.5</w:t>
            </w:r>
          </w:p>
        </w:tc>
        <w:tc>
          <w:tcPr>
            <w:tcW w:type="dxa" w:w="3628"/>
          </w:tcPr>
          <w:p>
            <w:r>
              <w:t>Secure additional resources for the forum's activities.</w:t>
            </w:r>
          </w:p>
        </w:tc>
        <w:tc>
          <w:tcPr>
            <w:tcW w:type="dxa" w:w="3628"/>
          </w:tcPr>
          <w:p>
            <w:r>
              <w:t>Obtenir des ressources supplémentaires pour les activités du Forum.</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C01.1.5</w:t>
                  </w:r>
                </w:p>
              </w:tc>
              <w:tc>
                <w:tcPr>
                  <w:tcW w:type="dxa" w:w="7257"/>
                  <w:shd w:fill="ddd8e8"/>
                </w:tcPr>
                <w:p>
                  <w:r>
                    <w:t>Extra Value</w:t>
                  </w:r>
                </w:p>
              </w:tc>
            </w:tr>
            <w:tr>
              <w:tc>
                <w:tcPr>
                  <w:tcW w:type="dxa" w:w="2092"/>
                  <w:shd w:fill="e3e3e3"/>
                </w:tcPr>
                <w:p>
                  <w:r>
                    <w:t>Deadline (English)</w:t>
                  </w:r>
                </w:p>
              </w:tc>
              <w:tc>
                <w:tcPr>
                  <w:tcW w:type="dxa" w:w="7257"/>
                </w:tcPr>
                <w:p>
                  <w:r>
                    <w:t>By fall 2028</w:t>
                  </w:r>
                </w:p>
              </w:tc>
            </w:tr>
            <w:tr>
              <w:tc>
                <w:tcPr>
                  <w:tcW w:type="dxa" w:w="2092"/>
                  <w:shd w:fill="e3e3e3"/>
                </w:tcPr>
                <w:p>
                  <w:r>
                    <w:t>Deadline (French)</w:t>
                  </w:r>
                </w:p>
              </w:tc>
              <w:tc>
                <w:tcPr>
                  <w:tcW w:type="dxa" w:w="7257"/>
                </w:tcPr>
                <w:p>
                  <w:r>
                    <w:t>D'ici l'automne 2028</w:t>
                  </w:r>
                </w:p>
              </w:tc>
            </w:tr>
            <w:tr>
              <w:tc>
                <w:tcPr>
                  <w:tcW w:type="dxa" w:w="2092"/>
                  <w:shd w:fill="e3e3e3"/>
                </w:tcPr>
                <w:p>
                  <w:r>
                    <w:t>Lead Department</w:t>
                  </w:r>
                </w:p>
              </w:tc>
              <w:tc>
                <w:tcPr>
                  <w:tcW w:type="dxa" w:w="7257"/>
                </w:tcPr>
                <w:p>
                  <w:r>
                    <w:t>rcmp-grc</w:t>
                  </w:r>
                </w:p>
              </w:tc>
            </w:tr>
          </w:tbl>
          <w:p/>
        </w:tc>
      </w:tr>
      <w:tr>
        <w:tc>
          <w:tcPr>
            <w:tcW w:type="dxa" w:w="2092"/>
          </w:tcPr>
          <w:p>
            <w:r>
              <w:t>C01.2.1</w:t>
            </w:r>
          </w:p>
        </w:tc>
        <w:tc>
          <w:tcPr>
            <w:tcW w:type="dxa" w:w="3628"/>
          </w:tcPr>
          <w:p>
            <w:r>
              <w:t>Establish an enterprise-wide consultation platform.</w:t>
            </w:r>
          </w:p>
        </w:tc>
        <w:tc>
          <w:tcPr>
            <w:tcW w:type="dxa" w:w="3628"/>
          </w:tcPr>
          <w:p>
            <w:r>
              <w:t>Mettre en place une plateforme de consultation pangouvernementale.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C01.2.1</w:t>
                  </w:r>
                </w:p>
              </w:tc>
              <w:tc>
                <w:tcPr>
                  <w:tcW w:type="dxa" w:w="7257"/>
                  <w:shd w:fill="ddd8e8"/>
                </w:tcPr>
                <w:p>
                  <w:r>
                    <w:t>Extra Value</w:t>
                  </w:r>
                </w:p>
              </w:tc>
            </w:tr>
            <w:tr>
              <w:tc>
                <w:tcPr>
                  <w:tcW w:type="dxa" w:w="2092"/>
                  <w:shd w:fill="e3e3e3"/>
                </w:tcPr>
                <w:p>
                  <w:r>
                    <w:t>Deadline (English)</w:t>
                  </w:r>
                </w:p>
              </w:tc>
              <w:tc>
                <w:tcPr>
                  <w:tcW w:type="dxa" w:w="7257"/>
                </w:tcPr>
                <w:p>
                  <w:r>
                    <w:t>By fall 2027</w:t>
                  </w:r>
                </w:p>
              </w:tc>
            </w:tr>
            <w:tr>
              <w:tc>
                <w:tcPr>
                  <w:tcW w:type="dxa" w:w="2092"/>
                  <w:shd w:fill="e3e3e3"/>
                </w:tcPr>
                <w:p>
                  <w:r>
                    <w:t>Deadline (French)</w:t>
                  </w:r>
                </w:p>
              </w:tc>
              <w:tc>
                <w:tcPr>
                  <w:tcW w:type="dxa" w:w="7257"/>
                </w:tcPr>
                <w:p>
                  <w:r>
                    <w:t>D'ici l'automne 2027</w:t>
                  </w:r>
                </w:p>
              </w:tc>
            </w:tr>
            <w:tr>
              <w:tc>
                <w:tcPr>
                  <w:tcW w:type="dxa" w:w="2092"/>
                  <w:shd w:fill="e3e3e3"/>
                </w:tcPr>
                <w:p>
                  <w:r>
                    <w:t>Lead Department</w:t>
                  </w:r>
                </w:p>
              </w:tc>
              <w:tc>
                <w:tcPr>
                  <w:tcW w:type="dxa" w:w="7257"/>
                </w:tcPr>
                <w:p>
                  <w:r>
                    <w:t>rcmp-grc</w:t>
                  </w:r>
                </w:p>
              </w:tc>
            </w:tr>
          </w:tbl>
          <w:p/>
        </w:tc>
      </w:tr>
      <w:tr>
        <w:tc>
          <w:tcPr>
            <w:tcW w:type="dxa" w:w="2092"/>
          </w:tcPr>
          <w:p>
            <w:r>
              <w:t>C01.2.2</w:t>
            </w:r>
          </w:p>
        </w:tc>
        <w:tc>
          <w:tcPr>
            <w:tcW w:type="dxa" w:w="3628"/>
          </w:tcPr>
          <w:p>
            <w:r>
              <w:t>Using the RCMP's public participation framework, incorporate a feedback loop into each consultation. Publish feedback on the Open Government portal.</w:t>
            </w:r>
          </w:p>
        </w:tc>
        <w:tc>
          <w:tcPr>
            <w:tcW w:type="dxa" w:w="3628"/>
          </w:tcPr>
          <w:p>
            <w:r>
              <w:t>Intégrer une boucle de rétroaction à chaque consultation au moyen du cadre de participation du public de la GRC. Publier la rétroaction sur le Portail du gouvernement ouvert.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C01.2.2</w:t>
                  </w:r>
                </w:p>
              </w:tc>
              <w:tc>
                <w:tcPr>
                  <w:tcW w:type="dxa" w:w="7257"/>
                  <w:shd w:fill="ddd8e8"/>
                </w:tcPr>
                <w:p>
                  <w:r>
                    <w:t>Extra Value</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C01.2.3</w:t>
            </w:r>
          </w:p>
        </w:tc>
        <w:tc>
          <w:tcPr>
            <w:tcW w:type="dxa" w:w="3628"/>
          </w:tcPr>
          <w:p>
            <w:r>
              <w:t>Increase the percentage of Canadians who respond to the Organisation for Economic Co-operation and Development (OECD) survey on drivers of trust in public institutions from the 2024 baseline of 49%.</w:t>
            </w:r>
          </w:p>
        </w:tc>
        <w:tc>
          <w:tcPr>
            <w:tcW w:type="dxa" w:w="3628"/>
          </w:tcPr>
          <w:p>
            <w:r>
              <w:t>Accroître le pourcentage de Canadiens qui répondent à l'enquête de l'Organisation de coopération et de développement économiques sur les déterminants de la confiance dans les institutions publiques par rapport au pourcentage de référence de 2024, soit 49 %.</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C01.2.3</w:t>
                  </w:r>
                </w:p>
              </w:tc>
              <w:tc>
                <w:tcPr>
                  <w:tcW w:type="dxa" w:w="7257"/>
                  <w:shd w:fill="ddd8e8"/>
                </w:tcPr>
                <w:p>
                  <w:r>
                    <w:t>Extra Value</w:t>
                  </w:r>
                </w:p>
              </w:tc>
            </w:tr>
            <w:tr>
              <w:tc>
                <w:tcPr>
                  <w:tcW w:type="dxa" w:w="2092"/>
                  <w:shd w:fill="e3e3e3"/>
                </w:tcPr>
                <w:p>
                  <w:r>
                    <w:t>Deadline (English)</w:t>
                  </w:r>
                </w:p>
              </w:tc>
              <w:tc>
                <w:tcPr>
                  <w:tcW w:type="dxa" w:w="7257"/>
                </w:tcPr>
                <w:p>
                  <w:r>
                    <w:t>By winter 2028</w:t>
                  </w:r>
                </w:p>
              </w:tc>
            </w:tr>
            <w:tr>
              <w:tc>
                <w:tcPr>
                  <w:tcW w:type="dxa" w:w="2092"/>
                  <w:shd w:fill="e3e3e3"/>
                </w:tcPr>
                <w:p>
                  <w:r>
                    <w:t>Deadline (French)</w:t>
                  </w:r>
                </w:p>
              </w:tc>
              <w:tc>
                <w:tcPr>
                  <w:tcW w:type="dxa" w:w="7257"/>
                </w:tcPr>
                <w:p>
                  <w:r>
                    <w:t>D'ici l'hiver 2028</w:t>
                  </w:r>
                </w:p>
              </w:tc>
            </w:tr>
            <w:tr>
              <w:tc>
                <w:tcPr>
                  <w:tcW w:type="dxa" w:w="2092"/>
                  <w:shd w:fill="e3e3e3"/>
                </w:tcPr>
                <w:p>
                  <w:r>
                    <w:t>Lead Department</w:t>
                  </w:r>
                </w:p>
              </w:tc>
              <w:tc>
                <w:tcPr>
                  <w:tcW w:type="dxa" w:w="7257"/>
                </w:tcPr>
                <w:p>
                  <w:r>
                    <w:t>rcmp-grc</w:t>
                  </w:r>
                </w:p>
              </w:tc>
            </w:tr>
          </w:tbl>
          <w:p/>
        </w:tc>
      </w:tr>
      <w:tr>
        <w:tc>
          <w:tcPr>
            <w:tcW w:type="dxa" w:w="2092"/>
          </w:tcPr>
          <w:p>
            <w:r>
              <w:t>C01.2.4</w:t>
            </w:r>
          </w:p>
        </w:tc>
        <w:tc>
          <w:tcPr>
            <w:tcW w:type="dxa" w:w="3628"/>
          </w:tcPr>
          <w:p>
            <w:r>
              <w:t>Reduce the percentage of ethnically diverse Canadians who report a hate crime or hate- motivated event from the 79% high in 2022.</w:t>
            </w:r>
          </w:p>
        </w:tc>
        <w:tc>
          <w:tcPr>
            <w:tcW w:type="dxa" w:w="3628"/>
          </w:tcPr>
          <w:p>
            <w:r>
              <w:t>Réduire le pourcentage de Canadiens de diverses origines ethniques qui signalent un crime haineux ou un événement motivé par la haine par rapport au niveau record de 79 % atteint en 2022.</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C01.2.4</w:t>
                  </w:r>
                </w:p>
              </w:tc>
              <w:tc>
                <w:tcPr>
                  <w:tcW w:type="dxa" w:w="7257"/>
                  <w:shd w:fill="ddd8e8"/>
                </w:tcPr>
                <w:p>
                  <w:r>
                    <w:t>Extra Value</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C01.3.1</w:t>
            </w:r>
          </w:p>
        </w:tc>
        <w:tc>
          <w:tcPr>
            <w:tcW w:type="dxa" w:w="3628"/>
          </w:tcPr>
          <w:p>
            <w:r>
              <w:t>Contribute to the government-wide implementation of the Action Plan Measure for Shared Priority 30 of the United Nations Declaration on the Rights of Indigenous Peoples Act.</w:t>
            </w:r>
          </w:p>
        </w:tc>
        <w:tc>
          <w:tcPr>
            <w:tcW w:type="dxa" w:w="3628"/>
          </w:tcPr>
          <w:p>
            <w:r>
              <w:t>Contribuer à la mise en oeuvre pangouvernementale de la mesure pour la priorité partagée 30 du Plan d'action de la Loi sur la Déclaration des Nations Unies sur les droits des peuples autochtones.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C01.3.1</w:t>
                  </w:r>
                </w:p>
              </w:tc>
              <w:tc>
                <w:tcPr>
                  <w:tcW w:type="dxa" w:w="7257"/>
                  <w:shd w:fill="ddd8e8"/>
                </w:tcPr>
                <w:p>
                  <w:r>
                    <w:t>Extra Value</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C01.3.2</w:t>
            </w:r>
          </w:p>
        </w:tc>
        <w:tc>
          <w:tcPr>
            <w:tcW w:type="dxa" w:w="3628"/>
          </w:tcPr>
          <w:p>
            <w:r>
              <w:t>Identify concrete steps the Government of Canada can take to advance this approach, including identifying how to leverage each department's mandate.</w:t>
            </w:r>
          </w:p>
        </w:tc>
        <w:tc>
          <w:tcPr>
            <w:tcW w:type="dxa" w:w="3628"/>
          </w:tcPr>
          <w:p>
            <w:r>
              <w:t>Déterminer les mesures concrètes que le gouvernement du Canada peut prendre pour faire progresser cette approche, y compris quant à la façon de mettre à profit le mandat de chaque ministère.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C01.3.2</w:t>
                  </w:r>
                </w:p>
              </w:tc>
              <w:tc>
                <w:tcPr>
                  <w:tcW w:type="dxa" w:w="7257"/>
                  <w:shd w:fill="ddd8e8"/>
                </w:tcPr>
                <w:p>
                  <w:r>
                    <w:t>Extra Value</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C01.3.3</w:t>
            </w:r>
          </w:p>
        </w:tc>
        <w:tc>
          <w:tcPr>
            <w:tcW w:type="dxa" w:w="3628"/>
          </w:tcPr>
          <w:p>
            <w:r>
              <w:t>Make meaningful progress on the RCMP's commitments to reconciliation that were outlined by the Truth and Reconciliation Council.</w:t>
            </w:r>
          </w:p>
        </w:tc>
        <w:tc>
          <w:tcPr>
            <w:tcW w:type="dxa" w:w="3628"/>
          </w:tcPr>
          <w:p>
            <w:r>
              <w:t>Réaliser des progrès significatifs par rapport aux engagements de la GRC en matière de réconciliation qui ont été présentés par le Conseil national de la réconciliation.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C01.3.3</w:t>
                  </w:r>
                </w:p>
              </w:tc>
              <w:tc>
                <w:tcPr>
                  <w:tcW w:type="dxa" w:w="7257"/>
                  <w:shd w:fill="ddd8e8"/>
                </w:tcPr>
                <w:p>
                  <w:r>
                    <w:t>Extra Value</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C01.4.1</w:t>
            </w:r>
          </w:p>
        </w:tc>
        <w:tc>
          <w:tcPr>
            <w:tcW w:type="dxa" w:w="3628"/>
          </w:tcPr>
          <w:p>
            <w:r>
              <w:t>Publicly launch the Public Participation Maturity Model tool, including launching a webinar, and a presentation at the 2025 Open Government Partnership Summit.</w:t>
            </w:r>
          </w:p>
        </w:tc>
        <w:tc>
          <w:tcPr>
            <w:tcW w:type="dxa" w:w="3628"/>
          </w:tcPr>
          <w:p>
            <w:r>
              <w:t>Lancer publiquement l'outil du modèle de maturité pour la participation du public, qui comprend le lancement d'un webinaire et d'une présentation au Sommet du Partenariat pour un gouvernement ouvert 2025.</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C01.4.1</w:t>
                  </w:r>
                </w:p>
              </w:tc>
              <w:tc>
                <w:tcPr>
                  <w:tcW w:type="dxa" w:w="7257"/>
                  <w:shd w:fill="ddd8e8"/>
                </w:tcPr>
                <w:p>
                  <w:r>
                    <w:t>Extra Value</w:t>
                  </w:r>
                </w:p>
              </w:tc>
            </w:tr>
            <w:tr>
              <w:tc>
                <w:tcPr>
                  <w:tcW w:type="dxa" w:w="2092"/>
                  <w:shd w:fill="e3e3e3"/>
                </w:tcPr>
                <w:p>
                  <w:r>
                    <w:t>Deadline (English)</w:t>
                  </w:r>
                </w:p>
              </w:tc>
              <w:tc>
                <w:tcPr>
                  <w:tcW w:type="dxa" w:w="7257"/>
                </w:tcPr>
                <w:p>
                  <w:r>
                    <w:t>By end of 2025</w:t>
                  </w:r>
                </w:p>
              </w:tc>
            </w:tr>
            <w:tr>
              <w:tc>
                <w:tcPr>
                  <w:tcW w:type="dxa" w:w="2092"/>
                  <w:shd w:fill="e3e3e3"/>
                </w:tcPr>
                <w:p>
                  <w:r>
                    <w:t>Deadline (French)</w:t>
                  </w:r>
                </w:p>
              </w:tc>
              <w:tc>
                <w:tcPr>
                  <w:tcW w:type="dxa" w:w="7257"/>
                </w:tcPr>
                <w:p>
                  <w:r>
                    <w:t>D'ici la fin de 2025</w:t>
                  </w:r>
                </w:p>
              </w:tc>
            </w:tr>
            <w:tr>
              <w:tc>
                <w:tcPr>
                  <w:tcW w:type="dxa" w:w="2092"/>
                  <w:shd w:fill="e3e3e3"/>
                </w:tcPr>
                <w:p>
                  <w:r>
                    <w:t>Lead Department</w:t>
                  </w:r>
                </w:p>
              </w:tc>
              <w:tc>
                <w:tcPr>
                  <w:tcW w:type="dxa" w:w="7257"/>
                </w:tcPr>
                <w:p>
                  <w:r>
                    <w:t>tbs-sct</w:t>
                  </w:r>
                </w:p>
              </w:tc>
            </w:tr>
          </w:tbl>
          <w:p/>
        </w:tc>
      </w:tr>
      <w:tr>
        <w:tc>
          <w:tcPr>
            <w:tcW w:type="dxa" w:w="2092"/>
          </w:tcPr>
          <w:p>
            <w:r>
              <w:t>C01.4.2</w:t>
            </w:r>
          </w:p>
        </w:tc>
        <w:tc>
          <w:tcPr>
            <w:tcW w:type="dxa" w:w="3628"/>
          </w:tcPr>
          <w:p>
            <w:r>
              <w:t>Test the maturity model framework through the Maturity Model Pilot Program, which includes two one-year test groups (four to six departments in each) to assess the functionality of the model in different settings.</w:t>
            </w:r>
          </w:p>
        </w:tc>
        <w:tc>
          <w:tcPr>
            <w:tcW w:type="dxa" w:w="3628"/>
          </w:tcPr>
          <w:p>
            <w:r>
              <w:t>Mettre à l'essai le cadre de modèle de maturité au moyen du programme pilote du modèle de maturité, qui comprend deux groupes d'essai sur une période d'un an (quatre à six ministères pour chaque groupe) afin d'évaluer la fonctionnalité du modèle dans différents contextes.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C01.4.2</w:t>
                  </w:r>
                </w:p>
              </w:tc>
              <w:tc>
                <w:tcPr>
                  <w:tcW w:type="dxa" w:w="7257"/>
                  <w:shd w:fill="ddd8e8"/>
                </w:tcPr>
                <w:p>
                  <w:r>
                    <w:t>Extra Value</w:t>
                  </w:r>
                </w:p>
              </w:tc>
            </w:tr>
            <w:tr>
              <w:tc>
                <w:tcPr>
                  <w:tcW w:type="dxa" w:w="2092"/>
                  <w:shd w:fill="e3e3e3"/>
                </w:tcPr>
                <w:p>
                  <w:r>
                    <w:t>Deadline (English)</w:t>
                  </w:r>
                </w:p>
              </w:tc>
              <w:tc>
                <w:tcPr>
                  <w:tcW w:type="dxa" w:w="7257"/>
                </w:tcPr>
                <w:p>
                  <w:r>
                    <w:t>2026-27</w:t>
                  </w:r>
                </w:p>
              </w:tc>
            </w:tr>
            <w:tr>
              <w:tc>
                <w:tcPr>
                  <w:tcW w:type="dxa" w:w="2092"/>
                  <w:shd w:fill="e3e3e3"/>
                </w:tcPr>
                <w:p>
                  <w:r>
                    <w:t>Deadline (French)</w:t>
                  </w:r>
                </w:p>
              </w:tc>
              <w:tc>
                <w:tcPr>
                  <w:tcW w:type="dxa" w:w="7257"/>
                </w:tcPr>
                <w:p>
                  <w:r>
                    <w:t>2026‑2027</w:t>
                  </w:r>
                </w:p>
              </w:tc>
            </w:tr>
            <w:tr>
              <w:tc>
                <w:tcPr>
                  <w:tcW w:type="dxa" w:w="2092"/>
                  <w:shd w:fill="e3e3e3"/>
                </w:tcPr>
                <w:p>
                  <w:r>
                    <w:t>Lead Department</w:t>
                  </w:r>
                </w:p>
              </w:tc>
              <w:tc>
                <w:tcPr>
                  <w:tcW w:type="dxa" w:w="7257"/>
                </w:tcPr>
                <w:p>
                  <w:r>
                    <w:t>tbs-sct</w:t>
                  </w:r>
                </w:p>
              </w:tc>
            </w:tr>
          </w:tbl>
          <w:p/>
        </w:tc>
      </w:tr>
      <w:tr>
        <w:tc>
          <w:tcPr>
            <w:tcW w:type="dxa" w:w="2092"/>
          </w:tcPr>
          <w:p>
            <w:r>
              <w:t>C01.4.3</w:t>
            </w:r>
          </w:p>
        </w:tc>
        <w:tc>
          <w:tcPr>
            <w:tcW w:type="dxa" w:w="3628"/>
          </w:tcPr>
          <w:p>
            <w:r>
              <w:t>Collect input from two years of the Maturity Model Pilot Program and refine the model based on the evidence collected.</w:t>
            </w:r>
          </w:p>
        </w:tc>
        <w:tc>
          <w:tcPr>
            <w:tcW w:type="dxa" w:w="3628"/>
          </w:tcPr>
          <w:p>
            <w:r>
              <w:t>Recueillir les commentaires pendant les deux années du programme pilote du modèle de maturité et peaufiner le modèle en fonction des données probantes recueillies.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C01.4.3</w:t>
                  </w:r>
                </w:p>
              </w:tc>
              <w:tc>
                <w:tcPr>
                  <w:tcW w:type="dxa" w:w="7257"/>
                  <w:shd w:fill="ddd8e8"/>
                </w:tcPr>
                <w:p>
                  <w:r>
                    <w:t>Extra Value</w:t>
                  </w:r>
                </w:p>
              </w:tc>
            </w:tr>
            <w:tr>
              <w:tc>
                <w:tcPr>
                  <w:tcW w:type="dxa" w:w="2092"/>
                  <w:shd w:fill="e3e3e3"/>
                </w:tcPr>
                <w:p>
                  <w:r>
                    <w:t>Deadline (English)</w:t>
                  </w:r>
                </w:p>
              </w:tc>
              <w:tc>
                <w:tcPr>
                  <w:tcW w:type="dxa" w:w="7257"/>
                </w:tcPr>
                <w:p>
                  <w:r>
                    <w:t>2026-27</w:t>
                  </w:r>
                </w:p>
              </w:tc>
            </w:tr>
            <w:tr>
              <w:tc>
                <w:tcPr>
                  <w:tcW w:type="dxa" w:w="2092"/>
                  <w:shd w:fill="e3e3e3"/>
                </w:tcPr>
                <w:p>
                  <w:r>
                    <w:t>Deadline (French)</w:t>
                  </w:r>
                </w:p>
              </w:tc>
              <w:tc>
                <w:tcPr>
                  <w:tcW w:type="dxa" w:w="7257"/>
                </w:tcPr>
                <w:p>
                  <w:r>
                    <w:t>2026‑2027</w:t>
                  </w:r>
                </w:p>
              </w:tc>
            </w:tr>
            <w:tr>
              <w:tc>
                <w:tcPr>
                  <w:tcW w:type="dxa" w:w="2092"/>
                  <w:shd w:fill="e3e3e3"/>
                </w:tcPr>
                <w:p>
                  <w:r>
                    <w:t>Lead Department</w:t>
                  </w:r>
                </w:p>
              </w:tc>
              <w:tc>
                <w:tcPr>
                  <w:tcW w:type="dxa" w:w="7257"/>
                </w:tcPr>
                <w:p>
                  <w:r>
                    <w:t>tbs-sct</w:t>
                  </w:r>
                </w:p>
              </w:tc>
            </w:tr>
          </w:tbl>
          <w:p/>
        </w:tc>
      </w:tr>
      <w:tr>
        <w:tc>
          <w:tcPr>
            <w:tcW w:type="dxa" w:w="2092"/>
          </w:tcPr>
          <w:p>
            <w:r>
              <w:t>C01.4.4</w:t>
            </w:r>
          </w:p>
        </w:tc>
        <w:tc>
          <w:tcPr>
            <w:tcW w:type="dxa" w:w="3628"/>
          </w:tcPr>
          <w:p>
            <w:r>
              <w:t>Share reflections and best practices from the pilot program and make recommendations to senior leadership on the future of public participation in the Government of Canada.</w:t>
            </w:r>
          </w:p>
        </w:tc>
        <w:tc>
          <w:tcPr>
            <w:tcW w:type="dxa" w:w="3628"/>
          </w:tcPr>
          <w:p>
            <w:r>
              <w:t>Transmettre les réflexions et les pratiques exemplaires qui ont découlé du programme pilote et faire des recommandations à la haute direction sur l'avenir de la participation du public au sein du gouvernement du Canada.</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C01.4.4</w:t>
                  </w:r>
                </w:p>
              </w:tc>
              <w:tc>
                <w:tcPr>
                  <w:tcW w:type="dxa" w:w="7257"/>
                  <w:shd w:fill="ddd8e8"/>
                </w:tcPr>
                <w:p>
                  <w:r>
                    <w:t>Extra Value</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tbs-sct</w:t>
                  </w:r>
                </w:p>
              </w:tc>
            </w:tr>
          </w:tbl>
          <w:p/>
        </w:tc>
      </w:tr>
      <w:tr>
        <w:tc>
          <w:tcPr>
            <w:tcW w:type="dxa" w:w="2092"/>
          </w:tcPr>
          <w:p>
            <w:r>
              <w:t>C01.5.1</w:t>
            </w:r>
          </w:p>
        </w:tc>
        <w:tc>
          <w:tcPr>
            <w:tcW w:type="dxa" w:w="3628"/>
          </w:tcPr>
          <w:p>
            <w:r>
              <w:t>Develop and advance infrastructure by, for example, building capacity, providing guidance and creating a digital prototype platform, to facilitate dialogue and the successful adoption of participatory research and citizen science in the federal science ecosystem.</w:t>
            </w:r>
          </w:p>
        </w:tc>
        <w:tc>
          <w:tcPr>
            <w:tcW w:type="dxa" w:w="3628"/>
          </w:tcPr>
          <w:p>
            <w:r>
              <w:t>Concevoir et consolider l'infrastructure, par exemple, en renforçant les capacités, en fournissant une orientation et en créant une plateforme numérique prototype afin de faciliter le dialogue et d'assurer l'adoption de la recherche participative et de la science citoyenne dans l'écosystème scientifique fédéral.</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C01.5.1</w:t>
                  </w:r>
                </w:p>
              </w:tc>
              <w:tc>
                <w:tcPr>
                  <w:tcW w:type="dxa" w:w="7257"/>
                  <w:shd w:fill="ddd8e8"/>
                </w:tcPr>
                <w:p>
                  <w:r>
                    <w:t>Extra Value</w:t>
                  </w:r>
                </w:p>
              </w:tc>
            </w:tr>
            <w:tr>
              <w:tc>
                <w:tcPr>
                  <w:tcW w:type="dxa" w:w="2092"/>
                  <w:shd w:fill="e3e3e3"/>
                </w:tcPr>
                <w:p>
                  <w:r>
                    <w:t>Deadline (English)</w:t>
                  </w:r>
                </w:p>
              </w:tc>
              <w:tc>
                <w:tcPr>
                  <w:tcW w:type="dxa" w:w="7257"/>
                </w:tcPr>
                <w:p>
                  <w:r>
                    <w:t>By end of 2029</w:t>
                  </w:r>
                </w:p>
              </w:tc>
            </w:tr>
            <w:tr>
              <w:tc>
                <w:tcPr>
                  <w:tcW w:type="dxa" w:w="2092"/>
                  <w:shd w:fill="e3e3e3"/>
                </w:tcPr>
                <w:p>
                  <w:r>
                    <w:t>Deadline (French)</w:t>
                  </w:r>
                </w:p>
              </w:tc>
              <w:tc>
                <w:tcPr>
                  <w:tcW w:type="dxa" w:w="7257"/>
                </w:tcPr>
                <w:p>
                  <w:r>
                    <w:t>D'ici la fin de 2029</w:t>
                  </w:r>
                </w:p>
              </w:tc>
            </w:tr>
            <w:tr>
              <w:tc>
                <w:tcPr>
                  <w:tcW w:type="dxa" w:w="2092"/>
                  <w:shd w:fill="e3e3e3"/>
                </w:tcPr>
                <w:p>
                  <w:r>
                    <w:t>Lead Department</w:t>
                  </w:r>
                </w:p>
              </w:tc>
              <w:tc>
                <w:tcPr>
                  <w:tcW w:type="dxa" w:w="7257"/>
                </w:tcPr>
                <w:p>
                  <w:r>
                    <w:t>pwgsc-tpsgc,hc-sc</w:t>
                  </w:r>
                </w:p>
              </w:tc>
            </w:tr>
          </w:tbl>
          <w:p/>
        </w:tc>
      </w:tr>
      <w:tr>
        <w:tc>
          <w:tcPr>
            <w:tcW w:type="dxa" w:w="2092"/>
          </w:tcPr>
          <w:p>
            <w:r>
              <w:t>C01.6.1</w:t>
            </w:r>
          </w:p>
        </w:tc>
        <w:tc>
          <w:tcPr>
            <w:tcW w:type="dxa" w:w="3628"/>
          </w:tcPr>
          <w:p>
            <w:r>
              <w:t>Development of a proposal detailing the design, framework and governance structure for a new external portal that will provide controlled, login-based access to unprotected, non-sensitive data assets and datasets for selected Indigenous organizations and governments.</w:t>
            </w:r>
          </w:p>
        </w:tc>
        <w:tc>
          <w:tcPr>
            <w:tcW w:type="dxa" w:w="3628"/>
          </w:tcPr>
          <w:p>
            <w:r>
              <w:t>Élaborer une proposition détaillant la conception, le cadre et la structure de gouvernance d'un nouveau portail externe qui offrira un accès contrôlé, avec authentification, à des actifs et ensembles de données non protégés et non sensibles pour certains gouvernements et certaines organisations autochtones.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C01.6.1</w:t>
                  </w:r>
                </w:p>
              </w:tc>
              <w:tc>
                <w:tcPr>
                  <w:tcW w:type="dxa" w:w="7257"/>
                  <w:shd w:fill="ddd8e8"/>
                </w:tcPr>
                <w:p>
                  <w:r>
                    <w:t>Extra Value</w:t>
                  </w:r>
                </w:p>
              </w:tc>
            </w:tr>
            <w:tr>
              <w:tc>
                <w:tcPr>
                  <w:tcW w:type="dxa" w:w="2092"/>
                  <w:shd w:fill="e3e3e3"/>
                </w:tcPr>
                <w:p>
                  <w:r>
                    <w:t>Deadline (English)</w:t>
                  </w:r>
                </w:p>
              </w:tc>
              <w:tc>
                <w:tcPr>
                  <w:tcW w:type="dxa" w:w="7257"/>
                </w:tcPr>
                <w:p>
                  <w:r>
                    <w:t>By March 2026</w:t>
                  </w:r>
                </w:p>
              </w:tc>
            </w:tr>
            <w:tr>
              <w:tc>
                <w:tcPr>
                  <w:tcW w:type="dxa" w:w="2092"/>
                  <w:shd w:fill="e3e3e3"/>
                </w:tcPr>
                <w:p>
                  <w:r>
                    <w:t>Deadline (French)</w:t>
                  </w:r>
                </w:p>
              </w:tc>
              <w:tc>
                <w:tcPr>
                  <w:tcW w:type="dxa" w:w="7257"/>
                </w:tcPr>
                <w:p>
                  <w:r>
                    <w:t>D'ici mars 2026</w:t>
                  </w:r>
                </w:p>
              </w:tc>
            </w:tr>
            <w:tr>
              <w:tc>
                <w:tcPr>
                  <w:tcW w:type="dxa" w:w="2092"/>
                  <w:shd w:fill="e3e3e3"/>
                </w:tcPr>
                <w:p>
                  <w:r>
                    <w:t>Lead Department</w:t>
                  </w:r>
                </w:p>
              </w:tc>
              <w:tc>
                <w:tcPr>
                  <w:tcW w:type="dxa" w:w="7257"/>
                </w:tcPr>
                <w:p>
                  <w:r>
                    <w:t>isc-sac</w:t>
                  </w:r>
                </w:p>
              </w:tc>
            </w:tr>
          </w:tbl>
          <w:p/>
        </w:tc>
      </w:tr>
      <w:tr>
        <w:tc>
          <w:tcPr>
            <w:tcW w:type="dxa" w:w="2092"/>
          </w:tcPr>
          <w:p>
            <w:r>
              <w:t>C01.6.2</w:t>
            </w:r>
          </w:p>
        </w:tc>
        <w:tc>
          <w:tcPr>
            <w:tcW w:type="dxa" w:w="3628"/>
          </w:tcPr>
          <w:p>
            <w:r>
              <w:t>Development of a data-sensitivity framework to help identify and categorize non-sensitive data assets that should be proactively shared, including determination of potential data-sharing platforms, in collaboration with Indigenous governments and organizations.</w:t>
            </w:r>
          </w:p>
        </w:tc>
        <w:tc>
          <w:tcPr>
            <w:tcW w:type="dxa" w:w="3628"/>
          </w:tcPr>
          <w:p>
            <w:r>
              <w:t>Élaborer un cadre de sensibilité des données pour aider à cerner les actifs de données qui ne sont pas sensibles, et à les catégoriser en conséquence, et qui devraient donc être transmis de façon proactive. Comprend le choix des plateformes potentielles de partage de données, en collaboration avec les gouvernements et les organisations autochtones.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C01.6.2</w:t>
                  </w:r>
                </w:p>
              </w:tc>
              <w:tc>
                <w:tcPr>
                  <w:tcW w:type="dxa" w:w="7257"/>
                  <w:shd w:fill="ddd8e8"/>
                </w:tcPr>
                <w:p>
                  <w:r>
                    <w:t>Extra Value</w:t>
                  </w:r>
                </w:p>
              </w:tc>
            </w:tr>
            <w:tr>
              <w:tc>
                <w:tcPr>
                  <w:tcW w:type="dxa" w:w="2092"/>
                  <w:shd w:fill="e3e3e3"/>
                </w:tcPr>
                <w:p>
                  <w:r>
                    <w:t>Deadline (English)</w:t>
                  </w:r>
                </w:p>
              </w:tc>
              <w:tc>
                <w:tcPr>
                  <w:tcW w:type="dxa" w:w="7257"/>
                </w:tcPr>
                <w:p>
                  <w:r>
                    <w:t>By March 2027</w:t>
                  </w:r>
                </w:p>
              </w:tc>
            </w:tr>
            <w:tr>
              <w:tc>
                <w:tcPr>
                  <w:tcW w:type="dxa" w:w="2092"/>
                  <w:shd w:fill="e3e3e3"/>
                </w:tcPr>
                <w:p>
                  <w:r>
                    <w:t>Deadline (French)</w:t>
                  </w:r>
                </w:p>
              </w:tc>
              <w:tc>
                <w:tcPr>
                  <w:tcW w:type="dxa" w:w="7257"/>
                </w:tcPr>
                <w:p>
                  <w:r>
                    <w:t>D'ici mars 2027</w:t>
                  </w:r>
                </w:p>
              </w:tc>
            </w:tr>
            <w:tr>
              <w:tc>
                <w:tcPr>
                  <w:tcW w:type="dxa" w:w="2092"/>
                  <w:shd w:fill="e3e3e3"/>
                </w:tcPr>
                <w:p>
                  <w:r>
                    <w:t>Lead Department</w:t>
                  </w:r>
                </w:p>
              </w:tc>
              <w:tc>
                <w:tcPr>
                  <w:tcW w:type="dxa" w:w="7257"/>
                </w:tcPr>
                <w:p>
                  <w:r>
                    <w:t>isc-sac</w:t>
                  </w:r>
                </w:p>
              </w:tc>
            </w:tr>
          </w:tbl>
          <w:p/>
        </w:tc>
      </w:tr>
      <w:tr>
        <w:tc>
          <w:tcPr>
            <w:tcW w:type="dxa" w:w="2092"/>
          </w:tcPr>
          <w:p>
            <w:r>
              <w:t>C01.6.3</w:t>
            </w:r>
          </w:p>
        </w:tc>
        <w:tc>
          <w:tcPr>
            <w:tcW w:type="dxa" w:w="3628"/>
          </w:tcPr>
          <w:p>
            <w:r>
              <w:t>Identification and prioritization of datasets that should be proactively shared.</w:t>
            </w:r>
          </w:p>
        </w:tc>
        <w:tc>
          <w:tcPr>
            <w:tcW w:type="dxa" w:w="3628"/>
          </w:tcPr>
          <w:p>
            <w:r>
              <w:t>Cerner les ensembles de données qui devraient être transmis de façon proactive et établir leur ordre de priorité.</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C01.6.3</w:t>
                  </w:r>
                </w:p>
              </w:tc>
              <w:tc>
                <w:tcPr>
                  <w:tcW w:type="dxa" w:w="7257"/>
                  <w:shd w:fill="ddd8e8"/>
                </w:tcPr>
                <w:p>
                  <w:r>
                    <w:t>Extra Value</w:t>
                  </w:r>
                </w:p>
              </w:tc>
            </w:tr>
            <w:tr>
              <w:tc>
                <w:tcPr>
                  <w:tcW w:type="dxa" w:w="2092"/>
                  <w:shd w:fill="e3e3e3"/>
                </w:tcPr>
                <w:p>
                  <w:r>
                    <w:t>Deadline (English)</w:t>
                  </w:r>
                </w:p>
              </w:tc>
              <w:tc>
                <w:tcPr>
                  <w:tcW w:type="dxa" w:w="7257"/>
                </w:tcPr>
                <w:p>
                  <w:r>
                    <w:t>By March 2027</w:t>
                  </w:r>
                </w:p>
              </w:tc>
            </w:tr>
            <w:tr>
              <w:tc>
                <w:tcPr>
                  <w:tcW w:type="dxa" w:w="2092"/>
                  <w:shd w:fill="e3e3e3"/>
                </w:tcPr>
                <w:p>
                  <w:r>
                    <w:t>Deadline (French)</w:t>
                  </w:r>
                </w:p>
              </w:tc>
              <w:tc>
                <w:tcPr>
                  <w:tcW w:type="dxa" w:w="7257"/>
                </w:tcPr>
                <w:p>
                  <w:r>
                    <w:t>D'ici mars 2027</w:t>
                  </w:r>
                </w:p>
              </w:tc>
            </w:tr>
            <w:tr>
              <w:tc>
                <w:tcPr>
                  <w:tcW w:type="dxa" w:w="2092"/>
                  <w:shd w:fill="e3e3e3"/>
                </w:tcPr>
                <w:p>
                  <w:r>
                    <w:t>Lead Department</w:t>
                  </w:r>
                </w:p>
              </w:tc>
              <w:tc>
                <w:tcPr>
                  <w:tcW w:type="dxa" w:w="7257"/>
                </w:tcPr>
                <w:p>
                  <w:r>
                    <w:t>isc-sac</w:t>
                  </w:r>
                </w:p>
              </w:tc>
            </w:tr>
          </w:tbl>
          <w:p/>
        </w:tc>
      </w:tr>
      <w:tr>
        <w:tc>
          <w:tcPr>
            <w:tcW w:type="dxa" w:w="2092"/>
          </w:tcPr>
          <w:p>
            <w:r>
              <w:t>C01.7.1</w:t>
            </w:r>
          </w:p>
        </w:tc>
        <w:tc>
          <w:tcPr>
            <w:tcW w:type="dxa" w:w="3628"/>
          </w:tcPr>
          <w:p>
            <w:r>
              <w:t>Invite branches to think about their own holdings and consider what could be made available through the Open Government Portal in an accessible format.</w:t>
            </w:r>
          </w:p>
        </w:tc>
        <w:tc>
          <w:tcPr>
            <w:tcW w:type="dxa" w:w="3628"/>
          </w:tcPr>
          <w:p>
            <w:r>
              <w:t>Inviter les directions générales à réfléchir à leurs propres données et à ce qu'elles pourraient publier dans un format accessible par l'intermédiaire du Portail du gouvernement ouvert.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C01.7.1</w:t>
                  </w:r>
                </w:p>
              </w:tc>
              <w:tc>
                <w:tcPr>
                  <w:tcW w:type="dxa" w:w="7257"/>
                  <w:shd w:fill="ddd8e8"/>
                </w:tcPr>
                <w:p>
                  <w:r>
                    <w:t>Extra Value</w:t>
                  </w:r>
                </w:p>
              </w:tc>
            </w:tr>
            <w:tr>
              <w:tc>
                <w:tcPr>
                  <w:tcW w:type="dxa" w:w="2092"/>
                  <w:shd w:fill="e3e3e3"/>
                </w:tcPr>
                <w:p>
                  <w:r>
                    <w:t>Deadline (English)</w:t>
                  </w:r>
                </w:p>
              </w:tc>
              <w:tc>
                <w:tcPr>
                  <w:tcW w:type="dxa" w:w="7257"/>
                </w:tcPr>
                <w:p>
                  <w:r>
                    <w:t>March 2029</w:t>
                  </w:r>
                </w:p>
              </w:tc>
            </w:tr>
            <w:tr>
              <w:tc>
                <w:tcPr>
                  <w:tcW w:type="dxa" w:w="2092"/>
                  <w:shd w:fill="e3e3e3"/>
                </w:tcPr>
                <w:p>
                  <w:r>
                    <w:t>Deadline (French)</w:t>
                  </w:r>
                </w:p>
              </w:tc>
              <w:tc>
                <w:tcPr>
                  <w:tcW w:type="dxa" w:w="7257"/>
                </w:tcPr>
                <w:p>
                  <w:r>
                    <w:t>Mars 2029</w:t>
                  </w:r>
                </w:p>
              </w:tc>
            </w:tr>
            <w:tr>
              <w:tc>
                <w:tcPr>
                  <w:tcW w:type="dxa" w:w="2092"/>
                  <w:shd w:fill="e3e3e3"/>
                </w:tcPr>
                <w:p>
                  <w:r>
                    <w:t>Lead Department</w:t>
                  </w:r>
                </w:p>
              </w:tc>
              <w:tc>
                <w:tcPr>
                  <w:tcW w:type="dxa" w:w="7257"/>
                </w:tcPr>
                <w:p>
                  <w:r>
                    <w:t>vac-acc</w:t>
                  </w:r>
                </w:p>
              </w:tc>
            </w:tr>
          </w:tbl>
          <w:p/>
        </w:tc>
      </w:tr>
      <w:tr>
        <w:tc>
          <w:tcPr>
            <w:tcW w:type="dxa" w:w="2092"/>
          </w:tcPr>
          <w:p>
            <w:r>
              <w:t>C01.7.2</w:t>
            </w:r>
          </w:p>
        </w:tc>
        <w:tc>
          <w:tcPr>
            <w:tcW w:type="dxa" w:w="3628"/>
          </w:tcPr>
          <w:p>
            <w:r>
              <w:t>Encourage branches to consider whether the work they are doing will include opportunities to promote accountability and citizen engagement.</w:t>
            </w:r>
          </w:p>
        </w:tc>
        <w:tc>
          <w:tcPr>
            <w:tcW w:type="dxa" w:w="3628"/>
          </w:tcPr>
          <w:p>
            <w:r>
              <w:t>Encourager les directions générales à se demander si le travail qu'elles accomplissent comprendra des occasions de promouvoir la responsabilité et l'engagement des citoyens.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C01.7.2</w:t>
                  </w:r>
                </w:p>
              </w:tc>
              <w:tc>
                <w:tcPr>
                  <w:tcW w:type="dxa" w:w="7257"/>
                  <w:shd w:fill="ddd8e8"/>
                </w:tcPr>
                <w:p>
                  <w:r>
                    <w:t>Extra Value</w:t>
                  </w:r>
                </w:p>
              </w:tc>
            </w:tr>
            <w:tr>
              <w:tc>
                <w:tcPr>
                  <w:tcW w:type="dxa" w:w="2092"/>
                  <w:shd w:fill="e3e3e3"/>
                </w:tcPr>
                <w:p>
                  <w:r>
                    <w:t>Deadline (English)</w:t>
                  </w:r>
                </w:p>
              </w:tc>
              <w:tc>
                <w:tcPr>
                  <w:tcW w:type="dxa" w:w="7257"/>
                </w:tcPr>
                <w:p>
                  <w:r>
                    <w:t>March 2029</w:t>
                  </w:r>
                </w:p>
              </w:tc>
            </w:tr>
            <w:tr>
              <w:tc>
                <w:tcPr>
                  <w:tcW w:type="dxa" w:w="2092"/>
                  <w:shd w:fill="e3e3e3"/>
                </w:tcPr>
                <w:p>
                  <w:r>
                    <w:t>Deadline (French)</w:t>
                  </w:r>
                </w:p>
              </w:tc>
              <w:tc>
                <w:tcPr>
                  <w:tcW w:type="dxa" w:w="7257"/>
                </w:tcPr>
                <w:p>
                  <w:r>
                    <w:t>Mars 2029</w:t>
                  </w:r>
                </w:p>
              </w:tc>
            </w:tr>
            <w:tr>
              <w:tc>
                <w:tcPr>
                  <w:tcW w:type="dxa" w:w="2092"/>
                  <w:shd w:fill="e3e3e3"/>
                </w:tcPr>
                <w:p>
                  <w:r>
                    <w:t>Lead Department</w:t>
                  </w:r>
                </w:p>
              </w:tc>
              <w:tc>
                <w:tcPr>
                  <w:tcW w:type="dxa" w:w="7257"/>
                </w:tcPr>
                <w:p>
                  <w:r>
                    <w:t>vac-acc</w:t>
                  </w:r>
                </w:p>
              </w:tc>
            </w:tr>
          </w:tbl>
          <w:p/>
        </w:tc>
      </w:tr>
      <w:tr>
        <w:tc>
          <w:tcPr>
            <w:tcW w:type="dxa" w:w="2092"/>
          </w:tcPr>
          <w:p>
            <w:r>
              <w:t>C01.7.3</w:t>
            </w:r>
          </w:p>
        </w:tc>
        <w:tc>
          <w:tcPr>
            <w:tcW w:type="dxa" w:w="3628"/>
          </w:tcPr>
          <w:p>
            <w:r>
              <w:t>Ensure that twice annually, open government awareness activities are highlighted (once during Open Government Week and once during “Right to Know” week), with the goal of raising awareness at VAC. Success would be measured through participatory activities like employee knowledge challenges.</w:t>
            </w:r>
          </w:p>
        </w:tc>
        <w:tc>
          <w:tcPr>
            <w:tcW w:type="dxa" w:w="3628"/>
          </w:tcPr>
          <w:p>
            <w:r>
              <w:t>Veiller à ce que deux fois par année, les activités de sensibilisation à l'égard du gouvernement ouvert soient mises en évidence (une fois dans le cadre de la Semaine du gouvernement ouvert et une fois dans le cadre de la Semaine du droit à l'information), dans le but de mieux faire connaître le gouvernement ouvert au sein d'ACC. Le succès serait évalué au moyen d'activités participatives comme des tests de connaissances à l'intention des employés.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C01.7.3</w:t>
                  </w:r>
                </w:p>
              </w:tc>
              <w:tc>
                <w:tcPr>
                  <w:tcW w:type="dxa" w:w="7257"/>
                  <w:shd w:fill="ddd8e8"/>
                </w:tcPr>
                <w:p>
                  <w:r>
                    <w:t>Extra Value</w:t>
                  </w:r>
                </w:p>
              </w:tc>
            </w:tr>
            <w:tr>
              <w:tc>
                <w:tcPr>
                  <w:tcW w:type="dxa" w:w="2092"/>
                  <w:shd w:fill="e3e3e3"/>
                </w:tcPr>
                <w:p>
                  <w:r>
                    <w:t>Deadline (English)</w:t>
                  </w:r>
                </w:p>
              </w:tc>
              <w:tc>
                <w:tcPr>
                  <w:tcW w:type="dxa" w:w="7257"/>
                </w:tcPr>
                <w:p>
                  <w:r>
                    <w:t>Annually, by March 31; to be reported as part of VAC's access to information and privacy annual reports</w:t>
                  </w:r>
                </w:p>
              </w:tc>
            </w:tr>
            <w:tr>
              <w:tc>
                <w:tcPr>
                  <w:tcW w:type="dxa" w:w="2092"/>
                  <w:shd w:fill="e3e3e3"/>
                </w:tcPr>
                <w:p>
                  <w:r>
                    <w:t>Deadline (French)</w:t>
                  </w:r>
                </w:p>
              </w:tc>
              <w:tc>
                <w:tcPr>
                  <w:tcW w:type="dxa" w:w="7257"/>
                </w:tcPr>
                <w:p>
                  <w:r>
                    <w:t>Chaque année, au plus tard le 31 mars; en rendre compte dans le cadre des rapports annuels d'ACC sur l'accès à l'information et la protection des renseignements personnels</w:t>
                  </w:r>
                </w:p>
              </w:tc>
            </w:tr>
            <w:tr>
              <w:tc>
                <w:tcPr>
                  <w:tcW w:type="dxa" w:w="2092"/>
                  <w:shd w:fill="e3e3e3"/>
                </w:tcPr>
                <w:p>
                  <w:r>
                    <w:t>Lead Department</w:t>
                  </w:r>
                </w:p>
              </w:tc>
              <w:tc>
                <w:tcPr>
                  <w:tcW w:type="dxa" w:w="7257"/>
                </w:tcPr>
                <w:p>
                  <w:r>
                    <w:t>vac-acc</w:t>
                  </w:r>
                </w:p>
              </w:tc>
            </w:tr>
          </w:tbl>
          <w:p/>
        </w:tc>
      </w:tr>
      <w:tr>
        <w:tc>
          <w:tcPr>
            <w:tcW w:type="dxa" w:w="2092"/>
          </w:tcPr>
          <w:p>
            <w:r>
              <w:t>C02.1.1</w:t>
            </w:r>
          </w:p>
        </w:tc>
        <w:tc>
          <w:tcPr>
            <w:tcW w:type="dxa" w:w="3628"/>
          </w:tcPr>
          <w:p>
            <w:r>
              <w:t>Publish the RCMP Public Participation Framework and accompanying guidebook.</w:t>
            </w:r>
          </w:p>
        </w:tc>
        <w:tc>
          <w:tcPr>
            <w:tcW w:type="dxa" w:w="3628"/>
          </w:tcPr>
          <w:p>
            <w:r>
              <w:t>Publier le cadre de participation du public de la GRC et le guide connexe.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C02.1.1</w:t>
                  </w:r>
                </w:p>
              </w:tc>
              <w:tc>
                <w:tcPr>
                  <w:tcW w:type="dxa" w:w="7257"/>
                  <w:shd w:fill="ddd8e8"/>
                </w:tcPr>
                <w:p>
                  <w:r>
                    <w:t>Extra Value</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C02.1.2</w:t>
            </w:r>
          </w:p>
        </w:tc>
        <w:tc>
          <w:tcPr>
            <w:tcW w:type="dxa" w:w="3628"/>
          </w:tcPr>
          <w:p>
            <w:r>
              <w:t>Promote the framework and guidebook throughout the RCMP to facilitate their adoption and implementation.</w:t>
            </w:r>
          </w:p>
        </w:tc>
        <w:tc>
          <w:tcPr>
            <w:tcW w:type="dxa" w:w="3628"/>
          </w:tcPr>
          <w:p>
            <w:r>
              <w:t>Faire la promotion du cadre et du guide dans l'ensemble de la GRC afin de faciliter leur adoption et leur mise en oevreu.</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C02.1.2</w:t>
                  </w:r>
                </w:p>
              </w:tc>
              <w:tc>
                <w:tcPr>
                  <w:tcW w:type="dxa" w:w="7257"/>
                  <w:shd w:fill="ddd8e8"/>
                </w:tcPr>
                <w:p>
                  <w:r>
                    <w:t>Extra Value</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C02.1.3</w:t>
            </w:r>
          </w:p>
        </w:tc>
        <w:tc>
          <w:tcPr>
            <w:tcW w:type="dxa" w:w="3628"/>
          </w:tcPr>
          <w:p>
            <w:r>
              <w:t>Create an ethics and personal data tool to ensure that data is collected legally and ethically during public consultations.</w:t>
            </w:r>
          </w:p>
        </w:tc>
        <w:tc>
          <w:tcPr>
            <w:tcW w:type="dxa" w:w="3628"/>
          </w:tcPr>
          <w:p>
            <w:r>
              <w:t>Créer un outil d'éthique et de données personnelles pour veiller à ce que les données soient recueillies de manière légale et éthique durant les consultations publiques.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C02.1.3</w:t>
                  </w:r>
                </w:p>
              </w:tc>
              <w:tc>
                <w:tcPr>
                  <w:tcW w:type="dxa" w:w="7257"/>
                  <w:shd w:fill="ddd8e8"/>
                </w:tcPr>
                <w:p>
                  <w:r>
                    <w:t>Extra Value</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rcmp-grc</w:t>
                  </w:r>
                </w:p>
              </w:tc>
            </w:tr>
          </w:tbl>
          <w:p/>
        </w:tc>
      </w:tr>
      <w:tr>
        <w:tc>
          <w:tcPr>
            <w:tcW w:type="dxa" w:w="2092"/>
          </w:tcPr>
          <w:p>
            <w:r>
              <w:t>C02.2.1</w:t>
            </w:r>
          </w:p>
        </w:tc>
        <w:tc>
          <w:tcPr>
            <w:tcW w:type="dxa" w:w="3628"/>
          </w:tcPr>
          <w:p>
            <w:r>
              <w:t>Prepare a draft paper that assesses progress to date, identifies domestic and international best practices, and lays out potential approaches to strengthen Canadians' resilience to online disinformation.</w:t>
            </w:r>
          </w:p>
        </w:tc>
        <w:tc>
          <w:tcPr>
            <w:tcW w:type="dxa" w:w="3628"/>
          </w:tcPr>
          <w:p>
            <w:r>
              <w:t>Préparer une ébauche d'un document qui évalue les progrès réalisés à ce jour, dégage les pratiques exemplaires nationales et internationales et présente des approches possibles pour renforcer la capacité des Canadiens à faire face à la désinformation en ligne.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C02.2.1</w:t>
                  </w:r>
                </w:p>
              </w:tc>
              <w:tc>
                <w:tcPr>
                  <w:tcW w:type="dxa" w:w="7257"/>
                  <w:shd w:fill="ddd8e8"/>
                </w:tcPr>
                <w:p>
                  <w:r>
                    <w:t>Extra Value</w:t>
                  </w:r>
                </w:p>
              </w:tc>
            </w:tr>
            <w:tr>
              <w:tc>
                <w:tcPr>
                  <w:tcW w:type="dxa" w:w="2092"/>
                  <w:shd w:fill="e3e3e3"/>
                </w:tcPr>
                <w:p>
                  <w:r>
                    <w:t>Deadline (English)</w:t>
                  </w:r>
                </w:p>
              </w:tc>
              <w:tc>
                <w:tcPr>
                  <w:tcW w:type="dxa" w:w="7257"/>
                </w:tcPr>
                <w:p>
                  <w:r>
                    <w:t>By April 2026</w:t>
                  </w:r>
                </w:p>
              </w:tc>
            </w:tr>
            <w:tr>
              <w:tc>
                <w:tcPr>
                  <w:tcW w:type="dxa" w:w="2092"/>
                  <w:shd w:fill="e3e3e3"/>
                </w:tcPr>
                <w:p>
                  <w:r>
                    <w:t>Deadline (French)</w:t>
                  </w:r>
                </w:p>
              </w:tc>
              <w:tc>
                <w:tcPr>
                  <w:tcW w:type="dxa" w:w="7257"/>
                </w:tcPr>
                <w:p>
                  <w:r>
                    <w:t>D'ici avril 2026</w:t>
                  </w:r>
                </w:p>
              </w:tc>
            </w:tr>
            <w:tr>
              <w:tc>
                <w:tcPr>
                  <w:tcW w:type="dxa" w:w="2092"/>
                  <w:shd w:fill="e3e3e3"/>
                </w:tcPr>
                <w:p>
                  <w:r>
                    <w:t>Lead Department</w:t>
                  </w:r>
                </w:p>
              </w:tc>
              <w:tc>
                <w:tcPr>
                  <w:tcW w:type="dxa" w:w="7257"/>
                </w:tcPr>
                <w:p>
                  <w:r>
                    <w:t>pch</w:t>
                  </w:r>
                </w:p>
              </w:tc>
            </w:tr>
          </w:tbl>
          <w:p/>
        </w:tc>
      </w:tr>
      <w:tr>
        <w:tc>
          <w:tcPr>
            <w:tcW w:type="dxa" w:w="2092"/>
          </w:tcPr>
          <w:p>
            <w:r>
              <w:t>C02.2.2</w:t>
            </w:r>
          </w:p>
        </w:tc>
        <w:tc>
          <w:tcPr>
            <w:tcW w:type="dxa" w:w="3628"/>
          </w:tcPr>
          <w:p>
            <w:r>
              <w:t>Consult on the paper with government and non-government partners.</w:t>
            </w:r>
          </w:p>
        </w:tc>
        <w:tc>
          <w:tcPr>
            <w:tcW w:type="dxa" w:w="3628"/>
          </w:tcPr>
          <w:p>
            <w:r>
              <w:t>Consulter les partenaires gouvernementaux et non gouvernementaux au sujet du document.</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C02.2.2</w:t>
                  </w:r>
                </w:p>
              </w:tc>
              <w:tc>
                <w:tcPr>
                  <w:tcW w:type="dxa" w:w="7257"/>
                  <w:shd w:fill="ddd8e8"/>
                </w:tcPr>
                <w:p>
                  <w:r>
                    <w:t>Extra Value</w:t>
                  </w:r>
                </w:p>
              </w:tc>
            </w:tr>
            <w:tr>
              <w:tc>
                <w:tcPr>
                  <w:tcW w:type="dxa" w:w="2092"/>
                  <w:shd w:fill="e3e3e3"/>
                </w:tcPr>
                <w:p>
                  <w:r>
                    <w:t>Deadline (English)</w:t>
                  </w:r>
                </w:p>
              </w:tc>
              <w:tc>
                <w:tcPr>
                  <w:tcW w:type="dxa" w:w="7257"/>
                </w:tcPr>
                <w:p>
                  <w:r>
                    <w:t>By spring 2026</w:t>
                  </w:r>
                </w:p>
              </w:tc>
            </w:tr>
            <w:tr>
              <w:tc>
                <w:tcPr>
                  <w:tcW w:type="dxa" w:w="2092"/>
                  <w:shd w:fill="e3e3e3"/>
                </w:tcPr>
                <w:p>
                  <w:r>
                    <w:t>Deadline (French)</w:t>
                  </w:r>
                </w:p>
              </w:tc>
              <w:tc>
                <w:tcPr>
                  <w:tcW w:type="dxa" w:w="7257"/>
                </w:tcPr>
                <w:p>
                  <w:r>
                    <w:t>D'ici le printemps 2026</w:t>
                  </w:r>
                </w:p>
              </w:tc>
            </w:tr>
            <w:tr>
              <w:tc>
                <w:tcPr>
                  <w:tcW w:type="dxa" w:w="2092"/>
                  <w:shd w:fill="e3e3e3"/>
                </w:tcPr>
                <w:p>
                  <w:r>
                    <w:t>Lead Department</w:t>
                  </w:r>
                </w:p>
              </w:tc>
              <w:tc>
                <w:tcPr>
                  <w:tcW w:type="dxa" w:w="7257"/>
                </w:tcPr>
                <w:p>
                  <w:r>
                    <w:t>pch</w:t>
                  </w:r>
                </w:p>
              </w:tc>
            </w:tr>
          </w:tbl>
          <w:p/>
        </w:tc>
      </w:tr>
      <w:tr>
        <w:tc>
          <w:tcPr>
            <w:tcW w:type="dxa" w:w="2092"/>
          </w:tcPr>
          <w:p>
            <w:r>
              <w:t>C02.2.3</w:t>
            </w:r>
          </w:p>
        </w:tc>
        <w:tc>
          <w:tcPr>
            <w:tcW w:type="dxa" w:w="3628"/>
          </w:tcPr>
          <w:p>
            <w:r>
              <w:t>Develop a revised knowledge-sharing and communications strategy for the Digital Citizen Initiative.</w:t>
            </w:r>
          </w:p>
        </w:tc>
        <w:tc>
          <w:tcPr>
            <w:tcW w:type="dxa" w:w="3628"/>
          </w:tcPr>
          <w:p>
            <w:r>
              <w:t>Élaborer une stratégie révisée de partage des connaissances et de communication pour l'Initiative de citoyenneté numérique.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C02.2.3</w:t>
                  </w:r>
                </w:p>
              </w:tc>
              <w:tc>
                <w:tcPr>
                  <w:tcW w:type="dxa" w:w="7257"/>
                  <w:shd w:fill="ddd8e8"/>
                </w:tcPr>
                <w:p>
                  <w:r>
                    <w:t>Extra Value</w:t>
                  </w:r>
                </w:p>
              </w:tc>
            </w:tr>
            <w:tr>
              <w:tc>
                <w:tcPr>
                  <w:tcW w:type="dxa" w:w="2092"/>
                  <w:shd w:fill="e3e3e3"/>
                </w:tcPr>
                <w:p>
                  <w:r>
                    <w:t>Deadline (English)</w:t>
                  </w:r>
                </w:p>
              </w:tc>
              <w:tc>
                <w:tcPr>
                  <w:tcW w:type="dxa" w:w="7257"/>
                </w:tcPr>
                <w:p>
                  <w:r>
                    <w:t>By June 2026</w:t>
                  </w:r>
                </w:p>
              </w:tc>
            </w:tr>
            <w:tr>
              <w:tc>
                <w:tcPr>
                  <w:tcW w:type="dxa" w:w="2092"/>
                  <w:shd w:fill="e3e3e3"/>
                </w:tcPr>
                <w:p>
                  <w:r>
                    <w:t>Deadline (French)</w:t>
                  </w:r>
                </w:p>
              </w:tc>
              <w:tc>
                <w:tcPr>
                  <w:tcW w:type="dxa" w:w="7257"/>
                </w:tcPr>
                <w:p>
                  <w:r>
                    <w:t>D'ici juin 2026</w:t>
                  </w:r>
                </w:p>
              </w:tc>
            </w:tr>
            <w:tr>
              <w:tc>
                <w:tcPr>
                  <w:tcW w:type="dxa" w:w="2092"/>
                  <w:shd w:fill="e3e3e3"/>
                </w:tcPr>
                <w:p>
                  <w:r>
                    <w:t>Lead Department</w:t>
                  </w:r>
                </w:p>
              </w:tc>
              <w:tc>
                <w:tcPr>
                  <w:tcW w:type="dxa" w:w="7257"/>
                </w:tcPr>
                <w:p>
                  <w:r>
                    <w:t>pch</w:t>
                  </w:r>
                </w:p>
              </w:tc>
            </w:tr>
          </w:tbl>
          <w:p/>
        </w:tc>
      </w:tr>
      <w:tr>
        <w:tc>
          <w:tcPr>
            <w:tcW w:type="dxa" w:w="2092"/>
          </w:tcPr>
          <w:p>
            <w:r>
              <w:t>C02.2.4</w:t>
            </w:r>
          </w:p>
        </w:tc>
        <w:tc>
          <w:tcPr>
            <w:tcW w:type="dxa" w:w="3628"/>
          </w:tcPr>
          <w:p>
            <w:r>
              <w:t>Host three events to build capacity and share best practices among researchers and civil society organizations that work in civic engagement and digital media literacy.</w:t>
            </w:r>
          </w:p>
        </w:tc>
        <w:tc>
          <w:tcPr>
            <w:tcW w:type="dxa" w:w="3628"/>
          </w:tcPr>
          <w:p>
            <w:r>
              <w:t>Organiser trois événements pour renforcer les capacités et permettre l'échange de pratiques exemplaires entre les chercheurs et les organisations de la société civile qui oeuvrent dans le domaine de l'engagement civique et de la littératie numérique.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C02.2.4</w:t>
                  </w:r>
                </w:p>
              </w:tc>
              <w:tc>
                <w:tcPr>
                  <w:tcW w:type="dxa" w:w="7257"/>
                  <w:shd w:fill="ddd8e8"/>
                </w:tcPr>
                <w:p>
                  <w:r>
                    <w:t>Extra Value</w:t>
                  </w:r>
                </w:p>
              </w:tc>
            </w:tr>
            <w:tr>
              <w:tc>
                <w:tcPr>
                  <w:tcW w:type="dxa" w:w="2092"/>
                  <w:shd w:fill="e3e3e3"/>
                </w:tcPr>
                <w:p>
                  <w:r>
                    <w:t>Deadline (English)</w:t>
                  </w:r>
                </w:p>
              </w:tc>
              <w:tc>
                <w:tcPr>
                  <w:tcW w:type="dxa" w:w="7257"/>
                </w:tcPr>
                <w:p>
                  <w:r>
                    <w:t>By 2026</w:t>
                  </w:r>
                </w:p>
              </w:tc>
            </w:tr>
            <w:tr>
              <w:tc>
                <w:tcPr>
                  <w:tcW w:type="dxa" w:w="2092"/>
                  <w:shd w:fill="e3e3e3"/>
                </w:tcPr>
                <w:p>
                  <w:r>
                    <w:t>Deadline (French)</w:t>
                  </w:r>
                </w:p>
              </w:tc>
              <w:tc>
                <w:tcPr>
                  <w:tcW w:type="dxa" w:w="7257"/>
                </w:tcPr>
                <w:p>
                  <w:r>
                    <w:t>D'ici 2026</w:t>
                  </w:r>
                </w:p>
              </w:tc>
            </w:tr>
            <w:tr>
              <w:tc>
                <w:tcPr>
                  <w:tcW w:type="dxa" w:w="2092"/>
                  <w:shd w:fill="e3e3e3"/>
                </w:tcPr>
                <w:p>
                  <w:r>
                    <w:t>Lead Department</w:t>
                  </w:r>
                </w:p>
              </w:tc>
              <w:tc>
                <w:tcPr>
                  <w:tcW w:type="dxa" w:w="7257"/>
                </w:tcPr>
                <w:p>
                  <w:r>
                    <w:t>pch</w:t>
                  </w:r>
                </w:p>
              </w:tc>
            </w:tr>
          </w:tbl>
          <w:p/>
        </w:tc>
      </w:tr>
      <w:tr>
        <w:tc>
          <w:tcPr>
            <w:tcW w:type="dxa" w:w="2092"/>
          </w:tcPr>
          <w:p>
            <w:r>
              <w:t>C02.3.1</w:t>
            </w:r>
          </w:p>
        </w:tc>
        <w:tc>
          <w:tcPr>
            <w:tcW w:type="dxa" w:w="3628"/>
          </w:tcPr>
          <w:p>
            <w:r>
              <w:t>Renew and revise LAC's Access Policy Framework and programs and processes to maximize access to federal records held by LAC.</w:t>
            </w:r>
          </w:p>
        </w:tc>
        <w:tc>
          <w:tcPr>
            <w:tcW w:type="dxa" w:w="3628"/>
          </w:tcPr>
          <w:p>
            <w:r>
              <w:t>Renouveler et réviser le Cadre de politique d'accès de BAC ainsi que ses programmes et processus afin de maximiser l'accès aux documents fédéraux détenus par BAC.</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C02.3.1</w:t>
                  </w:r>
                </w:p>
              </w:tc>
              <w:tc>
                <w:tcPr>
                  <w:tcW w:type="dxa" w:w="7257"/>
                  <w:shd w:fill="ddd8e8"/>
                </w:tcPr>
                <w:p>
                  <w:r>
                    <w:t>Extra Value</w:t>
                  </w:r>
                </w:p>
              </w:tc>
            </w:tr>
            <w:tr>
              <w:tc>
                <w:tcPr>
                  <w:tcW w:type="dxa" w:w="2092"/>
                  <w:shd w:fill="e3e3e3"/>
                </w:tcPr>
                <w:p>
                  <w:r>
                    <w:t>Deadline (English)</w:t>
                  </w:r>
                </w:p>
              </w:tc>
              <w:tc>
                <w:tcPr>
                  <w:tcW w:type="dxa" w:w="7257"/>
                </w:tcPr>
                <w:p>
                  <w:r>
                    <w:t>2025 to 2028</w:t>
                  </w:r>
                </w:p>
              </w:tc>
            </w:tr>
            <w:tr>
              <w:tc>
                <w:tcPr>
                  <w:tcW w:type="dxa" w:w="2092"/>
                  <w:shd w:fill="e3e3e3"/>
                </w:tcPr>
                <w:p>
                  <w:r>
                    <w:t>Deadline (French)</w:t>
                  </w:r>
                </w:p>
              </w:tc>
              <w:tc>
                <w:tcPr>
                  <w:tcW w:type="dxa" w:w="7257"/>
                </w:tcPr>
                <w:p>
                  <w:r>
                    <w:t>De 2025 à 2028</w:t>
                  </w:r>
                </w:p>
              </w:tc>
            </w:tr>
            <w:tr>
              <w:tc>
                <w:tcPr>
                  <w:tcW w:type="dxa" w:w="2092"/>
                  <w:shd w:fill="e3e3e3"/>
                </w:tcPr>
                <w:p>
                  <w:r>
                    <w:t>Lead Department</w:t>
                  </w:r>
                </w:p>
              </w:tc>
              <w:tc>
                <w:tcPr>
                  <w:tcW w:type="dxa" w:w="7257"/>
                </w:tcPr>
                <w:p>
                  <w:r>
                    <w:t>lac-bac</w:t>
                  </w:r>
                </w:p>
              </w:tc>
            </w:tr>
          </w:tbl>
          <w:p/>
        </w:tc>
      </w:tr>
      <w:tr>
        <w:tc>
          <w:tcPr>
            <w:tcW w:type="dxa" w:w="2092"/>
          </w:tcPr>
          <w:p>
            <w:r>
              <w:t>C02.3.2</w:t>
            </w:r>
          </w:p>
        </w:tc>
        <w:tc>
          <w:tcPr>
            <w:tcW w:type="dxa" w:w="3628"/>
          </w:tcPr>
          <w:p>
            <w:r>
              <w:t>Proactively remove access barriers to GC archival records and have 30% to 50% of the archival GC records held at LAC open and readily available for Canadians to access either in person or online.</w:t>
            </w:r>
          </w:p>
        </w:tc>
        <w:tc>
          <w:tcPr>
            <w:tcW w:type="dxa" w:w="3628"/>
          </w:tcPr>
          <w:p>
            <w:r>
              <w:t>Éliminer de façon proactive les obstacles à l'accès aux documents archivés du gouvernement du Canada. Faire en sorte que de 30 % à 50 % des documents archivés du gouvernement du Canada détenus par BAC soient ouverts et facilement accessibles aux Canadiens, en personne ou en ligne.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C02.3.2</w:t>
                  </w:r>
                </w:p>
              </w:tc>
              <w:tc>
                <w:tcPr>
                  <w:tcW w:type="dxa" w:w="7257"/>
                  <w:shd w:fill="ddd8e8"/>
                </w:tcPr>
                <w:p>
                  <w:r>
                    <w:t>Extra Value</w:t>
                  </w:r>
                </w:p>
              </w:tc>
            </w:tr>
            <w:tr>
              <w:tc>
                <w:tcPr>
                  <w:tcW w:type="dxa" w:w="2092"/>
                  <w:shd w:fill="e3e3e3"/>
                </w:tcPr>
                <w:p>
                  <w:r>
                    <w:t>Deadline (English)</w:t>
                  </w:r>
                </w:p>
              </w:tc>
              <w:tc>
                <w:tcPr>
                  <w:tcW w:type="dxa" w:w="7257"/>
                </w:tcPr>
                <w:p>
                  <w:r>
                    <w:t>By 2029</w:t>
                  </w:r>
                </w:p>
              </w:tc>
            </w:tr>
            <w:tr>
              <w:tc>
                <w:tcPr>
                  <w:tcW w:type="dxa" w:w="2092"/>
                  <w:shd w:fill="e3e3e3"/>
                </w:tcPr>
                <w:p>
                  <w:r>
                    <w:t>Deadline (French)</w:t>
                  </w:r>
                </w:p>
              </w:tc>
              <w:tc>
                <w:tcPr>
                  <w:tcW w:type="dxa" w:w="7257"/>
                </w:tcPr>
                <w:p>
                  <w:r>
                    <w:t>D'ici 2029</w:t>
                  </w:r>
                </w:p>
              </w:tc>
            </w:tr>
            <w:tr>
              <w:tc>
                <w:tcPr>
                  <w:tcW w:type="dxa" w:w="2092"/>
                  <w:shd w:fill="e3e3e3"/>
                </w:tcPr>
                <w:p>
                  <w:r>
                    <w:t>Lead Department</w:t>
                  </w:r>
                </w:p>
              </w:tc>
              <w:tc>
                <w:tcPr>
                  <w:tcW w:type="dxa" w:w="7257"/>
                </w:tcPr>
                <w:p>
                  <w:r>
                    <w:t>lac-bac</w:t>
                  </w:r>
                </w:p>
              </w:tc>
            </w:tr>
          </w:tbl>
          <w:p/>
        </w:tc>
      </w:tr>
      <w:tr>
        <w:tc>
          <w:tcPr>
            <w:tcW w:type="dxa" w:w="2092"/>
          </w:tcPr>
          <w:p>
            <w:r>
              <w:t>C02.3.3</w:t>
            </w:r>
          </w:p>
        </w:tc>
        <w:tc>
          <w:tcPr>
            <w:tcW w:type="dxa" w:w="3628"/>
          </w:tcPr>
          <w:p>
            <w:r>
              <w:t>Integrate public demand into the prioritization process of federal archival records to be proactively opened and maximize access to those records.</w:t>
            </w:r>
          </w:p>
        </w:tc>
        <w:tc>
          <w:tcPr>
            <w:tcW w:type="dxa" w:w="3628"/>
          </w:tcPr>
          <w:p>
            <w:r>
              <w:t>Intégrer la demande du public dans le processus d'établissement de la priorité des documents fédéraux archivés afin qu'ils soient ouverts de façon proactive et d'optimiser l'accès à ces documents.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C02.3.3</w:t>
                  </w:r>
                </w:p>
              </w:tc>
              <w:tc>
                <w:tcPr>
                  <w:tcW w:type="dxa" w:w="7257"/>
                  <w:shd w:fill="ddd8e8"/>
                </w:tcPr>
                <w:p>
                  <w:r>
                    <w:t>Extra Value</w:t>
                  </w:r>
                </w:p>
              </w:tc>
            </w:tr>
            <w:tr>
              <w:tc>
                <w:tcPr>
                  <w:tcW w:type="dxa" w:w="2092"/>
                  <w:shd w:fill="e3e3e3"/>
                </w:tcPr>
                <w:p>
                  <w:r>
                    <w:t>Deadline (English)</w:t>
                  </w:r>
                </w:p>
              </w:tc>
              <w:tc>
                <w:tcPr>
                  <w:tcW w:type="dxa" w:w="7257"/>
                </w:tcPr>
                <w:p>
                  <w:r>
                    <w:t>2025 to 2029</w:t>
                  </w:r>
                </w:p>
              </w:tc>
            </w:tr>
            <w:tr>
              <w:tc>
                <w:tcPr>
                  <w:tcW w:type="dxa" w:w="2092"/>
                  <w:shd w:fill="e3e3e3"/>
                </w:tcPr>
                <w:p>
                  <w:r>
                    <w:t>Deadline (French)</w:t>
                  </w:r>
                </w:p>
              </w:tc>
              <w:tc>
                <w:tcPr>
                  <w:tcW w:type="dxa" w:w="7257"/>
                </w:tcPr>
                <w:p>
                  <w:r>
                    <w:t>De 2025 à 2029</w:t>
                  </w:r>
                </w:p>
              </w:tc>
            </w:tr>
            <w:tr>
              <w:tc>
                <w:tcPr>
                  <w:tcW w:type="dxa" w:w="2092"/>
                  <w:shd w:fill="e3e3e3"/>
                </w:tcPr>
                <w:p>
                  <w:r>
                    <w:t>Lead Department</w:t>
                  </w:r>
                </w:p>
              </w:tc>
              <w:tc>
                <w:tcPr>
                  <w:tcW w:type="dxa" w:w="7257"/>
                </w:tcPr>
                <w:p>
                  <w:r>
                    <w:t>lac-bac</w:t>
                  </w:r>
                </w:p>
              </w:tc>
            </w:tr>
          </w:tbl>
          <w:p/>
        </w:tc>
      </w:tr>
      <w:tr>
        <w:tc>
          <w:tcPr>
            <w:tcW w:type="dxa" w:w="2092"/>
          </w:tcPr>
          <w:p>
            <w:r>
              <w:t>C03.1.1</w:t>
            </w:r>
          </w:p>
        </w:tc>
        <w:tc>
          <w:tcPr>
            <w:tcW w:type="dxa" w:w="3628"/>
          </w:tcPr>
          <w:p>
            <w:r>
              <w:t>Increase transparency at the RCMP by publicly disclosing data and information that demonstrates what evidence warrants an investigation into potential criminal activity. Information disclosed complies with requirements of releasing information about ongoing investigations.</w:t>
            </w:r>
          </w:p>
        </w:tc>
        <w:tc>
          <w:tcPr>
            <w:tcW w:type="dxa" w:w="3628"/>
          </w:tcPr>
          <w:p>
            <w:r>
              <w:t>Accroître la transparence au sein de la GRC en publiant publiquement des données et des renseignements qui démontrent les éléments probants justifiant une enquête sur une activité criminelle potentielle. De telles communications sont conformes aux exigences pour la communication de renseignements concernant les enquêtes en cours.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C03.1.1</w:t>
                  </w:r>
                </w:p>
              </w:tc>
              <w:tc>
                <w:tcPr>
                  <w:tcW w:type="dxa" w:w="7257"/>
                  <w:shd w:fill="ddd8e8"/>
                </w:tcPr>
                <w:p>
                  <w:r>
                    <w:t>Extra Value</w:t>
                  </w:r>
                </w:p>
              </w:tc>
            </w:tr>
            <w:tr>
              <w:tc>
                <w:tcPr>
                  <w:tcW w:type="dxa" w:w="2092"/>
                  <w:shd w:fill="e3e3e3"/>
                </w:tcPr>
                <w:p>
                  <w:r>
                    <w:t>Deadline (English)</w:t>
                  </w:r>
                </w:p>
              </w:tc>
              <w:tc>
                <w:tcPr>
                  <w:tcW w:type="dxa" w:w="7257"/>
                </w:tcPr>
                <w:p>
                  <w:r>
                    <w:t>Ongoing</w:t>
                  </w:r>
                </w:p>
              </w:tc>
            </w:tr>
            <w:tr>
              <w:tc>
                <w:tcPr>
                  <w:tcW w:type="dxa" w:w="2092"/>
                  <w:shd w:fill="e3e3e3"/>
                </w:tcPr>
                <w:p>
                  <w:r>
                    <w:t>Deadline (French)</w:t>
                  </w:r>
                </w:p>
              </w:tc>
              <w:tc>
                <w:tcPr>
                  <w:tcW w:type="dxa" w:w="7257"/>
                </w:tcPr>
                <w:p>
                  <w:r>
                    <w:t>Permanent</w:t>
                  </w:r>
                </w:p>
              </w:tc>
            </w:tr>
            <w:tr>
              <w:tc>
                <w:tcPr>
                  <w:tcW w:type="dxa" w:w="2092"/>
                  <w:shd w:fill="e3e3e3"/>
                </w:tcPr>
                <w:p>
                  <w:r>
                    <w:t>Lead Department</w:t>
                  </w:r>
                </w:p>
              </w:tc>
              <w:tc>
                <w:tcPr>
                  <w:tcW w:type="dxa" w:w="7257"/>
                </w:tcPr>
                <w:p>
                  <w:r>
                    <w:t>rcmp-grc</w:t>
                  </w:r>
                </w:p>
              </w:tc>
            </w:tr>
          </w:tbl>
          <w:p/>
        </w:tc>
      </w:tr>
      <w:tr>
        <w:tc>
          <w:tcPr>
            <w:tcW w:type="dxa" w:w="2092"/>
          </w:tcPr>
          <w:p>
            <w:r>
              <w:t>C03.1.2</w:t>
            </w:r>
          </w:p>
        </w:tc>
        <w:tc>
          <w:tcPr>
            <w:tcW w:type="dxa" w:w="3628"/>
          </w:tcPr>
          <w:p>
            <w:r>
              <w:t>Increase Canadians' trust in the federal government, which was at 49% in 2023 according to the OECD Surveys on Drivers of Trust in Public Institutions.</w:t>
            </w:r>
          </w:p>
        </w:tc>
        <w:tc>
          <w:tcPr>
            <w:tcW w:type="dxa" w:w="3628"/>
          </w:tcPr>
          <w:p>
            <w:r>
              <w:t>Accroître la confiance des Canadiens envers le gouvernement fédéral, qui était de 49 % en 2023 selon l'enquête de l'Organisation de coopération et de développement économiques sur les déterminants de la confiance dans les institutions publiques.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C03.1.2</w:t>
                  </w:r>
                </w:p>
              </w:tc>
              <w:tc>
                <w:tcPr>
                  <w:tcW w:type="dxa" w:w="7257"/>
                  <w:shd w:fill="ddd8e8"/>
                </w:tcPr>
                <w:p>
                  <w:r>
                    <w:t>Extra Value</w:t>
                  </w:r>
                </w:p>
              </w:tc>
            </w:tr>
            <w:tr>
              <w:tc>
                <w:tcPr>
                  <w:tcW w:type="dxa" w:w="2092"/>
                  <w:shd w:fill="e3e3e3"/>
                </w:tcPr>
                <w:p>
                  <w:r>
                    <w:t>Deadline (English)</w:t>
                  </w:r>
                </w:p>
              </w:tc>
              <w:tc>
                <w:tcPr>
                  <w:tcW w:type="dxa" w:w="7257"/>
                </w:tcPr>
                <w:p>
                  <w:r>
                    <w:t>By winter 2028</w:t>
                  </w:r>
                </w:p>
              </w:tc>
            </w:tr>
            <w:tr>
              <w:tc>
                <w:tcPr>
                  <w:tcW w:type="dxa" w:w="2092"/>
                  <w:shd w:fill="e3e3e3"/>
                </w:tcPr>
                <w:p>
                  <w:r>
                    <w:t>Deadline (French)</w:t>
                  </w:r>
                </w:p>
              </w:tc>
              <w:tc>
                <w:tcPr>
                  <w:tcW w:type="dxa" w:w="7257"/>
                </w:tcPr>
                <w:p>
                  <w:r>
                    <w:t>D'ici l'hiver 2028</w:t>
                  </w:r>
                </w:p>
              </w:tc>
            </w:tr>
            <w:tr>
              <w:tc>
                <w:tcPr>
                  <w:tcW w:type="dxa" w:w="2092"/>
                  <w:shd w:fill="e3e3e3"/>
                </w:tcPr>
                <w:p>
                  <w:r>
                    <w:t>Lead Department</w:t>
                  </w:r>
                </w:p>
              </w:tc>
              <w:tc>
                <w:tcPr>
                  <w:tcW w:type="dxa" w:w="7257"/>
                </w:tcPr>
                <w:p>
                  <w:r>
                    <w:t>rcmp-grc</w:t>
                  </w:r>
                </w:p>
              </w:tc>
            </w:tr>
          </w:tbl>
          <w:p/>
        </w:tc>
      </w:tr>
      <w:tr>
        <w:tc>
          <w:tcPr>
            <w:tcW w:type="dxa" w:w="2092"/>
          </w:tcPr>
          <w:p>
            <w:r>
              <w:t>C03.1.3</w:t>
            </w:r>
          </w:p>
        </w:tc>
        <w:tc>
          <w:tcPr>
            <w:tcW w:type="dxa" w:w="3628"/>
          </w:tcPr>
          <w:p>
            <w:r>
              <w:t>Provide dashboards on high-level crime statistics and aggregated occurrence maps.</w:t>
            </w:r>
          </w:p>
        </w:tc>
        <w:tc>
          <w:tcPr>
            <w:tcW w:type="dxa" w:w="3628"/>
          </w:tcPr>
          <w:p>
            <w:r>
              <w:t>Fournir des tableaux de bord sur les statistiques criminelles globales et des cartes d'événements agrégées.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C03.1.3</w:t>
                  </w:r>
                </w:p>
              </w:tc>
              <w:tc>
                <w:tcPr>
                  <w:tcW w:type="dxa" w:w="7257"/>
                  <w:shd w:fill="ddd8e8"/>
                </w:tcPr>
                <w:p>
                  <w:r>
                    <w:t>Extra Value</w:t>
                  </w:r>
                </w:p>
              </w:tc>
            </w:tr>
            <w:tr>
              <w:tc>
                <w:tcPr>
                  <w:tcW w:type="dxa" w:w="2092"/>
                  <w:shd w:fill="e3e3e3"/>
                </w:tcPr>
                <w:p>
                  <w:r>
                    <w:t>Deadline (English)</w:t>
                  </w:r>
                </w:p>
              </w:tc>
              <w:tc>
                <w:tcPr>
                  <w:tcW w:type="dxa" w:w="7257"/>
                </w:tcPr>
                <w:p>
                  <w:r>
                    <w:t>By fall 2027</w:t>
                  </w:r>
                </w:p>
              </w:tc>
            </w:tr>
            <w:tr>
              <w:tc>
                <w:tcPr>
                  <w:tcW w:type="dxa" w:w="2092"/>
                  <w:shd w:fill="e3e3e3"/>
                </w:tcPr>
                <w:p>
                  <w:r>
                    <w:t>Deadline (French)</w:t>
                  </w:r>
                </w:p>
              </w:tc>
              <w:tc>
                <w:tcPr>
                  <w:tcW w:type="dxa" w:w="7257"/>
                </w:tcPr>
                <w:p>
                  <w:r>
                    <w:t>D'ici l'automne 2027</w:t>
                  </w:r>
                </w:p>
              </w:tc>
            </w:tr>
            <w:tr>
              <w:tc>
                <w:tcPr>
                  <w:tcW w:type="dxa" w:w="2092"/>
                  <w:shd w:fill="e3e3e3"/>
                </w:tcPr>
                <w:p>
                  <w:r>
                    <w:t>Lead Department</w:t>
                  </w:r>
                </w:p>
              </w:tc>
              <w:tc>
                <w:tcPr>
                  <w:tcW w:type="dxa" w:w="7257"/>
                </w:tcPr>
                <w:p>
                  <w:r>
                    <w:t>rcmp-grc</w:t>
                  </w:r>
                </w:p>
              </w:tc>
            </w:tr>
          </w:tbl>
          <w:p/>
        </w:tc>
      </w:tr>
      <w:tr>
        <w:tc>
          <w:tcPr>
            <w:tcW w:type="dxa" w:w="2092"/>
          </w:tcPr>
          <w:p>
            <w:r>
              <w:t>C03.2.1</w:t>
            </w:r>
          </w:p>
        </w:tc>
        <w:tc>
          <w:tcPr>
            <w:tcW w:type="dxa" w:w="3628"/>
          </w:tcPr>
          <w:p>
            <w:r>
              <w:t>Develop interactive and accessible versions of the Creative Export Strategy's data viewer.</w:t>
            </w:r>
          </w:p>
        </w:tc>
        <w:tc>
          <w:tcPr>
            <w:tcW w:type="dxa" w:w="3628"/>
          </w:tcPr>
          <w:p>
            <w:r>
              <w:t>Développer des versions interactives et accessibles du visualiseur de données sur la Stratégie d'exportation créative.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C03.2.1</w:t>
                  </w:r>
                </w:p>
              </w:tc>
              <w:tc>
                <w:tcPr>
                  <w:tcW w:type="dxa" w:w="7257"/>
                  <w:shd w:fill="ddd8e8"/>
                </w:tcPr>
                <w:p>
                  <w:r>
                    <w:t>Extra Value</w:t>
                  </w:r>
                </w:p>
              </w:tc>
            </w:tr>
            <w:tr>
              <w:tc>
                <w:tcPr>
                  <w:tcW w:type="dxa" w:w="2092"/>
                  <w:shd w:fill="e3e3e3"/>
                </w:tcPr>
                <w:p>
                  <w:r>
                    <w:t>Deadline (English)</w:t>
                  </w:r>
                </w:p>
              </w:tc>
              <w:tc>
                <w:tcPr>
                  <w:tcW w:type="dxa" w:w="7257"/>
                </w:tcPr>
                <w:p>
                  <w:r>
                    <w:t>By summer 2025</w:t>
                  </w:r>
                </w:p>
              </w:tc>
            </w:tr>
            <w:tr>
              <w:tc>
                <w:tcPr>
                  <w:tcW w:type="dxa" w:w="2092"/>
                  <w:shd w:fill="e3e3e3"/>
                </w:tcPr>
                <w:p>
                  <w:r>
                    <w:t>Deadline (French)</w:t>
                  </w:r>
                </w:p>
              </w:tc>
              <w:tc>
                <w:tcPr>
                  <w:tcW w:type="dxa" w:w="7257"/>
                </w:tcPr>
                <w:p>
                  <w:r>
                    <w:t>D'ici l'été 2025</w:t>
                  </w:r>
                </w:p>
              </w:tc>
            </w:tr>
            <w:tr>
              <w:tc>
                <w:tcPr>
                  <w:tcW w:type="dxa" w:w="2092"/>
                  <w:shd w:fill="e3e3e3"/>
                </w:tcPr>
                <w:p>
                  <w:r>
                    <w:t>Lead Department</w:t>
                  </w:r>
                </w:p>
              </w:tc>
              <w:tc>
                <w:tcPr>
                  <w:tcW w:type="dxa" w:w="7257"/>
                </w:tcPr>
                <w:p>
                  <w:r>
                    <w:t>pch</w:t>
                  </w:r>
                </w:p>
              </w:tc>
            </w:tr>
          </w:tbl>
          <w:p/>
        </w:tc>
      </w:tr>
      <w:tr>
        <w:tc>
          <w:tcPr>
            <w:tcW w:type="dxa" w:w="2092"/>
          </w:tcPr>
          <w:p>
            <w:r>
              <w:t>C03.2.2</w:t>
            </w:r>
          </w:p>
        </w:tc>
        <w:tc>
          <w:tcPr>
            <w:tcW w:type="dxa" w:w="3628"/>
          </w:tcPr>
          <w:p>
            <w:r>
              <w:t>Publish the Creative Export Strategy Interactive Data Viewer on the Canadian Heritage website.</w:t>
            </w:r>
          </w:p>
        </w:tc>
        <w:tc>
          <w:tcPr>
            <w:tcW w:type="dxa" w:w="3628"/>
          </w:tcPr>
          <w:p>
            <w:r>
              <w:t>Publier le visualiseur de données interactif sur la Stratégie d'exportation créative dans le site Web de Patrimoine canadien.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C03.2.2</w:t>
                  </w:r>
                </w:p>
              </w:tc>
              <w:tc>
                <w:tcPr>
                  <w:tcW w:type="dxa" w:w="7257"/>
                  <w:shd w:fill="ddd8e8"/>
                </w:tcPr>
                <w:p>
                  <w:r>
                    <w:t>Extra Value</w:t>
                  </w:r>
                </w:p>
              </w:tc>
            </w:tr>
            <w:tr>
              <w:tc>
                <w:tcPr>
                  <w:tcW w:type="dxa" w:w="2092"/>
                  <w:shd w:fill="e3e3e3"/>
                </w:tcPr>
                <w:p>
                  <w:r>
                    <w:t>Deadline (English)</w:t>
                  </w:r>
                </w:p>
              </w:tc>
              <w:tc>
                <w:tcPr>
                  <w:tcW w:type="dxa" w:w="7257"/>
                </w:tcPr>
                <w:p>
                  <w:r>
                    <w:t>By fall 2025</w:t>
                  </w:r>
                </w:p>
              </w:tc>
            </w:tr>
            <w:tr>
              <w:tc>
                <w:tcPr>
                  <w:tcW w:type="dxa" w:w="2092"/>
                  <w:shd w:fill="e3e3e3"/>
                </w:tcPr>
                <w:p>
                  <w:r>
                    <w:t>Deadline (French)</w:t>
                  </w:r>
                </w:p>
              </w:tc>
              <w:tc>
                <w:tcPr>
                  <w:tcW w:type="dxa" w:w="7257"/>
                </w:tcPr>
                <w:p>
                  <w:r>
                    <w:t>D'ici l'automne 2025</w:t>
                  </w:r>
                </w:p>
              </w:tc>
            </w:tr>
            <w:tr>
              <w:tc>
                <w:tcPr>
                  <w:tcW w:type="dxa" w:w="2092"/>
                  <w:shd w:fill="e3e3e3"/>
                </w:tcPr>
                <w:p>
                  <w:r>
                    <w:t>Lead Department</w:t>
                  </w:r>
                </w:p>
              </w:tc>
              <w:tc>
                <w:tcPr>
                  <w:tcW w:type="dxa" w:w="7257"/>
                </w:tcPr>
                <w:p>
                  <w:r>
                    <w:t>pch</w:t>
                  </w:r>
                </w:p>
              </w:tc>
            </w:tr>
          </w:tbl>
          <w:p/>
        </w:tc>
      </w:tr>
      <w:tr>
        <w:tc>
          <w:tcPr>
            <w:tcW w:type="dxa" w:w="2092"/>
          </w:tcPr>
          <w:p>
            <w:r>
              <w:t>C03.2.3</w:t>
            </w:r>
          </w:p>
        </w:tc>
        <w:tc>
          <w:tcPr>
            <w:tcW w:type="dxa" w:w="3628"/>
          </w:tcPr>
          <w:p>
            <w:r>
              <w:t>Announce the publication of the data viewer to stakeholders.</w:t>
            </w:r>
          </w:p>
        </w:tc>
        <w:tc>
          <w:tcPr>
            <w:tcW w:type="dxa" w:w="3628"/>
          </w:tcPr>
          <w:p>
            <w:r>
              <w:t>Annoncer la publication du visualiseur de données aux intervenants.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C03.2.3</w:t>
                  </w:r>
                </w:p>
              </w:tc>
              <w:tc>
                <w:tcPr>
                  <w:tcW w:type="dxa" w:w="7257"/>
                  <w:shd w:fill="ddd8e8"/>
                </w:tcPr>
                <w:p>
                  <w:r>
                    <w:t>Extra Value</w:t>
                  </w:r>
                </w:p>
              </w:tc>
            </w:tr>
            <w:tr>
              <w:tc>
                <w:tcPr>
                  <w:tcW w:type="dxa" w:w="2092"/>
                  <w:shd w:fill="e3e3e3"/>
                </w:tcPr>
                <w:p>
                  <w:r>
                    <w:t>Deadline (English)</w:t>
                  </w:r>
                </w:p>
              </w:tc>
              <w:tc>
                <w:tcPr>
                  <w:tcW w:type="dxa" w:w="7257"/>
                </w:tcPr>
                <w:p>
                  <w:r>
                    <w:t>By fall 2025</w:t>
                  </w:r>
                </w:p>
              </w:tc>
            </w:tr>
            <w:tr>
              <w:tc>
                <w:tcPr>
                  <w:tcW w:type="dxa" w:w="2092"/>
                  <w:shd w:fill="e3e3e3"/>
                </w:tcPr>
                <w:p>
                  <w:r>
                    <w:t>Deadline (French)</w:t>
                  </w:r>
                </w:p>
              </w:tc>
              <w:tc>
                <w:tcPr>
                  <w:tcW w:type="dxa" w:w="7257"/>
                </w:tcPr>
                <w:p>
                  <w:r>
                    <w:t>D'ici l'automne 2025</w:t>
                  </w:r>
                </w:p>
              </w:tc>
            </w:tr>
            <w:tr>
              <w:tc>
                <w:tcPr>
                  <w:tcW w:type="dxa" w:w="2092"/>
                  <w:shd w:fill="e3e3e3"/>
                </w:tcPr>
                <w:p>
                  <w:r>
                    <w:t>Lead Department</w:t>
                  </w:r>
                </w:p>
              </w:tc>
              <w:tc>
                <w:tcPr>
                  <w:tcW w:type="dxa" w:w="7257"/>
                </w:tcPr>
                <w:p>
                  <w:r>
                    <w:t>pch</w:t>
                  </w:r>
                </w:p>
              </w:tc>
            </w:tr>
          </w:tbl>
          <w:p/>
        </w:tc>
      </w:tr>
      <w:tr>
        <w:tc>
          <w:tcPr>
            <w:tcW w:type="dxa" w:w="2092"/>
          </w:tcPr>
          <w:p>
            <w:r>
              <w:t>C03.3.1</w:t>
            </w:r>
          </w:p>
        </w:tc>
        <w:tc>
          <w:tcPr>
            <w:tcW w:type="dxa" w:w="3628"/>
          </w:tcPr>
          <w:p>
            <w:r>
              <w:t>Research to identify existing sources of data, information and good practices from other jurisdictions, researchers and organizations.</w:t>
            </w:r>
          </w:p>
        </w:tc>
        <w:tc>
          <w:tcPr>
            <w:tcW w:type="dxa" w:w="3628"/>
          </w:tcPr>
          <w:p>
            <w:r>
              <w:t>Effectuer des recherches pour déterminer les sources existantes de données, de renseignements et de bonnes pratiques provenant d'autres administrations, chercheurs et organisations.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C03.3.1</w:t>
                  </w:r>
                </w:p>
              </w:tc>
              <w:tc>
                <w:tcPr>
                  <w:tcW w:type="dxa" w:w="7257"/>
                  <w:shd w:fill="ddd8e8"/>
                </w:tcPr>
                <w:p>
                  <w:r>
                    <w:t>Extra Value</w:t>
                  </w:r>
                </w:p>
              </w:tc>
            </w:tr>
            <w:tr>
              <w:tc>
                <w:tcPr>
                  <w:tcW w:type="dxa" w:w="2092"/>
                  <w:shd w:fill="e3e3e3"/>
                </w:tcPr>
                <w:p>
                  <w:r>
                    <w:t>Deadline (English)</w:t>
                  </w:r>
                </w:p>
              </w:tc>
              <w:tc>
                <w:tcPr>
                  <w:tcW w:type="dxa" w:w="7257"/>
                </w:tcPr>
                <w:p>
                  <w:r>
                    <w:t>By fall 2025</w:t>
                  </w:r>
                </w:p>
              </w:tc>
            </w:tr>
            <w:tr>
              <w:tc>
                <w:tcPr>
                  <w:tcW w:type="dxa" w:w="2092"/>
                  <w:shd w:fill="e3e3e3"/>
                </w:tcPr>
                <w:p>
                  <w:r>
                    <w:t>Deadline (French)</w:t>
                  </w:r>
                </w:p>
              </w:tc>
              <w:tc>
                <w:tcPr>
                  <w:tcW w:type="dxa" w:w="7257"/>
                </w:tcPr>
                <w:p>
                  <w:r>
                    <w:t>D'ici l'automne 2025</w:t>
                  </w:r>
                </w:p>
              </w:tc>
            </w:tr>
            <w:tr>
              <w:tc>
                <w:tcPr>
                  <w:tcW w:type="dxa" w:w="2092"/>
                  <w:shd w:fill="e3e3e3"/>
                </w:tcPr>
                <w:p>
                  <w:r>
                    <w:t>Lead Department</w:t>
                  </w:r>
                </w:p>
              </w:tc>
              <w:tc>
                <w:tcPr>
                  <w:tcW w:type="dxa" w:w="7257"/>
                </w:tcPr>
                <w:p>
                  <w:r>
                    <w:t>tbs-sct</w:t>
                  </w:r>
                </w:p>
              </w:tc>
            </w:tr>
          </w:tbl>
          <w:p/>
        </w:tc>
      </w:tr>
      <w:tr>
        <w:tc>
          <w:tcPr>
            <w:tcW w:type="dxa" w:w="2092"/>
          </w:tcPr>
          <w:p>
            <w:r>
              <w:t>C03.3.2</w:t>
            </w:r>
          </w:p>
        </w:tc>
        <w:tc>
          <w:tcPr>
            <w:tcW w:type="dxa" w:w="3628"/>
          </w:tcPr>
          <w:p>
            <w:r>
              <w:t>Publication of minimum viable product (MVP) register using existing data and information.</w:t>
            </w:r>
          </w:p>
        </w:tc>
        <w:tc>
          <w:tcPr>
            <w:tcW w:type="dxa" w:w="3628"/>
          </w:tcPr>
          <w:p>
            <w:r>
              <w:t>Publier un registre sur le produit minimum viable au moyen des données et renseignements existants.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C03.3.2</w:t>
                  </w:r>
                </w:p>
              </w:tc>
              <w:tc>
                <w:tcPr>
                  <w:tcW w:type="dxa" w:w="7257"/>
                  <w:shd w:fill="ddd8e8"/>
                </w:tcPr>
                <w:p>
                  <w:r>
                    <w:t>Extra Value</w:t>
                  </w:r>
                </w:p>
              </w:tc>
            </w:tr>
            <w:tr>
              <w:tc>
                <w:tcPr>
                  <w:tcW w:type="dxa" w:w="2092"/>
                  <w:shd w:fill="e3e3e3"/>
                </w:tcPr>
                <w:p>
                  <w:r>
                    <w:t>Deadline (English)</w:t>
                  </w:r>
                </w:p>
              </w:tc>
              <w:tc>
                <w:tcPr>
                  <w:tcW w:type="dxa" w:w="7257"/>
                </w:tcPr>
                <w:p>
                  <w:r>
                    <w:t>By November 2025</w:t>
                  </w:r>
                </w:p>
              </w:tc>
            </w:tr>
            <w:tr>
              <w:tc>
                <w:tcPr>
                  <w:tcW w:type="dxa" w:w="2092"/>
                  <w:shd w:fill="e3e3e3"/>
                </w:tcPr>
                <w:p>
                  <w:r>
                    <w:t>Deadline (French)</w:t>
                  </w:r>
                </w:p>
              </w:tc>
              <w:tc>
                <w:tcPr>
                  <w:tcW w:type="dxa" w:w="7257"/>
                </w:tcPr>
                <w:p>
                  <w:r>
                    <w:t>D'ici novembre 2025</w:t>
                  </w:r>
                </w:p>
              </w:tc>
            </w:tr>
            <w:tr>
              <w:tc>
                <w:tcPr>
                  <w:tcW w:type="dxa" w:w="2092"/>
                  <w:shd w:fill="e3e3e3"/>
                </w:tcPr>
                <w:p>
                  <w:r>
                    <w:t>Lead Department</w:t>
                  </w:r>
                </w:p>
              </w:tc>
              <w:tc>
                <w:tcPr>
                  <w:tcW w:type="dxa" w:w="7257"/>
                </w:tcPr>
                <w:p>
                  <w:r>
                    <w:t>tbs-sct</w:t>
                  </w:r>
                </w:p>
              </w:tc>
            </w:tr>
          </w:tbl>
          <w:p/>
        </w:tc>
      </w:tr>
      <w:tr>
        <w:tc>
          <w:tcPr>
            <w:tcW w:type="dxa" w:w="2092"/>
          </w:tcPr>
          <w:p>
            <w:r>
              <w:t>C03.3.3</w:t>
            </w:r>
          </w:p>
        </w:tc>
        <w:tc>
          <w:tcPr>
            <w:tcW w:type="dxa" w:w="3628"/>
          </w:tcPr>
          <w:p>
            <w:r>
              <w:t>Engagement of internal and external stakeholders to further develop and refine MVP content, format and functionality, and to identify where needed data and information can be sourced.</w:t>
            </w:r>
          </w:p>
        </w:tc>
        <w:tc>
          <w:tcPr>
            <w:tcW w:type="dxa" w:w="3628"/>
          </w:tcPr>
          <w:p>
            <w:r>
              <w:t>Mobiliser des intervenants internes et externes afin de poursuivre l'élaboration et le peaufinage du contenu, du format et des fonctionnalités du produit minimum viable ainsi que de déterminer où les données et l'information nécessaires peuvent être obtenues.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C03.3.3</w:t>
                  </w:r>
                </w:p>
              </w:tc>
              <w:tc>
                <w:tcPr>
                  <w:tcW w:type="dxa" w:w="7257"/>
                  <w:shd w:fill="ddd8e8"/>
                </w:tcPr>
                <w:p>
                  <w:r>
                    <w:t>Extra Value</w:t>
                  </w:r>
                </w:p>
              </w:tc>
            </w:tr>
            <w:tr>
              <w:tc>
                <w:tcPr>
                  <w:tcW w:type="dxa" w:w="2092"/>
                  <w:shd w:fill="e3e3e3"/>
                </w:tcPr>
                <w:p>
                  <w:r>
                    <w:t>Deadline (English)</w:t>
                  </w:r>
                </w:p>
              </w:tc>
              <w:tc>
                <w:tcPr>
                  <w:tcW w:type="dxa" w:w="7257"/>
                </w:tcPr>
                <w:p>
                  <w:r>
                    <w:t>By early 2026</w:t>
                  </w:r>
                </w:p>
              </w:tc>
            </w:tr>
            <w:tr>
              <w:tc>
                <w:tcPr>
                  <w:tcW w:type="dxa" w:w="2092"/>
                  <w:shd w:fill="e3e3e3"/>
                </w:tcPr>
                <w:p>
                  <w:r>
                    <w:t>Deadline (French)</w:t>
                  </w:r>
                </w:p>
              </w:tc>
              <w:tc>
                <w:tcPr>
                  <w:tcW w:type="dxa" w:w="7257"/>
                </w:tcPr>
                <w:p>
                  <w:r>
                    <w:t>D'ici le début de 2026</w:t>
                  </w:r>
                </w:p>
              </w:tc>
            </w:tr>
            <w:tr>
              <w:tc>
                <w:tcPr>
                  <w:tcW w:type="dxa" w:w="2092"/>
                  <w:shd w:fill="e3e3e3"/>
                </w:tcPr>
                <w:p>
                  <w:r>
                    <w:t>Lead Department</w:t>
                  </w:r>
                </w:p>
              </w:tc>
              <w:tc>
                <w:tcPr>
                  <w:tcW w:type="dxa" w:w="7257"/>
                </w:tcPr>
                <w:p>
                  <w:r>
                    <w:t>tbs-sct</w:t>
                  </w:r>
                </w:p>
              </w:tc>
            </w:tr>
          </w:tbl>
          <w:p/>
        </w:tc>
      </w:tr>
      <w:tr>
        <w:tc>
          <w:tcPr>
            <w:tcW w:type="dxa" w:w="2092"/>
          </w:tcPr>
          <w:p>
            <w:r>
              <w:t>C03.3.4</w:t>
            </w:r>
          </w:p>
        </w:tc>
        <w:tc>
          <w:tcPr>
            <w:tcW w:type="dxa" w:w="3628"/>
          </w:tcPr>
          <w:p>
            <w:r>
              <w:t>Development and publication of second version of register incorporating user feedback.</w:t>
            </w:r>
          </w:p>
        </w:tc>
        <w:tc>
          <w:tcPr>
            <w:tcW w:type="dxa" w:w="3628"/>
          </w:tcPr>
          <w:p>
            <w:r>
              <w:t>Préparer et publier une deuxième version du registre intégrant les commentaires des utilisateurs.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C03.3.4</w:t>
                  </w:r>
                </w:p>
              </w:tc>
              <w:tc>
                <w:tcPr>
                  <w:tcW w:type="dxa" w:w="7257"/>
                  <w:shd w:fill="ddd8e8"/>
                </w:tcPr>
                <w:p>
                  <w:r>
                    <w:t>Extra Value</w:t>
                  </w:r>
                </w:p>
              </w:tc>
            </w:tr>
            <w:tr>
              <w:tc>
                <w:tcPr>
                  <w:tcW w:type="dxa" w:w="2092"/>
                  <w:shd w:fill="e3e3e3"/>
                </w:tcPr>
                <w:p>
                  <w:r>
                    <w:t>Deadline (English)</w:t>
                  </w:r>
                </w:p>
              </w:tc>
              <w:tc>
                <w:tcPr>
                  <w:tcW w:type="dxa" w:w="7257"/>
                </w:tcPr>
                <w:p>
                  <w:r>
                    <w:t>By end of 2026</w:t>
                  </w:r>
                </w:p>
              </w:tc>
            </w:tr>
            <w:tr>
              <w:tc>
                <w:tcPr>
                  <w:tcW w:type="dxa" w:w="2092"/>
                  <w:shd w:fill="e3e3e3"/>
                </w:tcPr>
                <w:p>
                  <w:r>
                    <w:t>Deadline (French)</w:t>
                  </w:r>
                </w:p>
              </w:tc>
              <w:tc>
                <w:tcPr>
                  <w:tcW w:type="dxa" w:w="7257"/>
                </w:tcPr>
                <w:p>
                  <w:r>
                    <w:t>D'ici la fin de 2026</w:t>
                  </w:r>
                </w:p>
              </w:tc>
            </w:tr>
            <w:tr>
              <w:tc>
                <w:tcPr>
                  <w:tcW w:type="dxa" w:w="2092"/>
                  <w:shd w:fill="e3e3e3"/>
                </w:tcPr>
                <w:p>
                  <w:r>
                    <w:t>Lead Department</w:t>
                  </w:r>
                </w:p>
              </w:tc>
              <w:tc>
                <w:tcPr>
                  <w:tcW w:type="dxa" w:w="7257"/>
                </w:tcPr>
                <w:p>
                  <w:r>
                    <w:t>tbs-sct</w:t>
                  </w:r>
                </w:p>
              </w:tc>
            </w:tr>
          </w:tbl>
          <w:p/>
        </w:tc>
      </w:tr>
      <w:tr>
        <w:tc>
          <w:tcPr>
            <w:tcW w:type="dxa" w:w="2092"/>
          </w:tcPr>
          <w:p>
            <w:r>
              <w:t>C03.4.1</w:t>
            </w:r>
          </w:p>
        </w:tc>
        <w:tc>
          <w:tcPr>
            <w:tcW w:type="dxa" w:w="3628"/>
          </w:tcPr>
          <w:p>
            <w:r>
              <w:t>Foster dialogue with key stakeholders (for example, unions, media and federal public servants) through activities like polling, public opinion research, question-and-answer sessions with senior officials, newsletters, and technical briefings.</w:t>
            </w:r>
          </w:p>
        </w:tc>
        <w:tc>
          <w:tcPr>
            <w:tcW w:type="dxa" w:w="3628"/>
          </w:tcPr>
          <w:p>
            <w:r>
              <w:t>Favoriser un dialogue avec les principaux intervenants (par exemple, les syndicats, les médias et les fonctionnaires fédéraux) au moyen d'activités comme des sondages, des recherches sur l'opinion publique, des séances de questions et réponses avec les hauts fonctionnaires, des bulletins et des séances d'information technique.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C03.4.1</w:t>
                  </w:r>
                </w:p>
              </w:tc>
              <w:tc>
                <w:tcPr>
                  <w:tcW w:type="dxa" w:w="7257"/>
                  <w:shd w:fill="ddd8e8"/>
                </w:tcPr>
                <w:p>
                  <w:r>
                    <w:t>Extra Value</w:t>
                  </w:r>
                </w:p>
              </w:tc>
            </w:tr>
            <w:tr>
              <w:tc>
                <w:tcPr>
                  <w:tcW w:type="dxa" w:w="2092"/>
                  <w:shd w:fill="e3e3e3"/>
                </w:tcPr>
                <w:p>
                  <w:r>
                    <w:t>Deadline (English)</w:t>
                  </w:r>
                </w:p>
              </w:tc>
              <w:tc>
                <w:tcPr>
                  <w:tcW w:type="dxa" w:w="7257"/>
                </w:tcPr>
                <w:p>
                  <w:r>
                    <w:t>Ongoing, annually</w:t>
                  </w:r>
                </w:p>
              </w:tc>
            </w:tr>
            <w:tr>
              <w:tc>
                <w:tcPr>
                  <w:tcW w:type="dxa" w:w="2092"/>
                  <w:shd w:fill="e3e3e3"/>
                </w:tcPr>
                <w:p>
                  <w:r>
                    <w:t>Deadline (French)</w:t>
                  </w:r>
                </w:p>
              </w:tc>
              <w:tc>
                <w:tcPr>
                  <w:tcW w:type="dxa" w:w="7257"/>
                </w:tcPr>
                <w:p>
                  <w:r>
                    <w:t>Permanent, chaque année</w:t>
                  </w:r>
                </w:p>
              </w:tc>
            </w:tr>
            <w:tr>
              <w:tc>
                <w:tcPr>
                  <w:tcW w:type="dxa" w:w="2092"/>
                  <w:shd w:fill="e3e3e3"/>
                </w:tcPr>
                <w:p>
                  <w:r>
                    <w:t>Lead Department</w:t>
                  </w:r>
                </w:p>
              </w:tc>
              <w:tc>
                <w:tcPr>
                  <w:tcW w:type="dxa" w:w="7257"/>
                </w:tcPr>
                <w:p>
                  <w:r>
                    <w:t>pwgsc-tpsgc</w:t>
                  </w:r>
                </w:p>
              </w:tc>
            </w:tr>
          </w:tbl>
          <w:p/>
        </w:tc>
      </w:tr>
      <w:tr>
        <w:tc>
          <w:tcPr>
            <w:tcW w:type="dxa" w:w="2092"/>
          </w:tcPr>
          <w:p>
            <w:r>
              <w:t>C03.4.2</w:t>
            </w:r>
          </w:p>
        </w:tc>
        <w:tc>
          <w:tcPr>
            <w:tcW w:type="dxa" w:w="3628"/>
          </w:tcPr>
          <w:p>
            <w:r>
              <w:t>PSPC and TBS collaborate to publish internal documents related to HR and pay initiatives, as well as relevant data and findings. Share these documents on the Open Government Portal and promote them through multiple channels to ensure broader access.</w:t>
            </w:r>
          </w:p>
        </w:tc>
        <w:tc>
          <w:tcPr>
            <w:tcW w:type="dxa" w:w="3628"/>
          </w:tcPr>
          <w:p>
            <w:r>
              <w:t>SPAC et le SCT collaborent pour publier des documents internes liés aux initiatives de RH et de paye, ainsi que des données et des constatations pertinentes. Diffuser ces documents sur le Portail du gouvernement ouvert et en faire la promotion sur de multiples canaux afin de permettre un plus grand accès.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C03.4.2</w:t>
                  </w:r>
                </w:p>
              </w:tc>
              <w:tc>
                <w:tcPr>
                  <w:tcW w:type="dxa" w:w="7257"/>
                  <w:shd w:fill="ddd8e8"/>
                </w:tcPr>
                <w:p>
                  <w:r>
                    <w:t>Extra Value</w:t>
                  </w:r>
                </w:p>
              </w:tc>
            </w:tr>
            <w:tr>
              <w:tc>
                <w:tcPr>
                  <w:tcW w:type="dxa" w:w="2092"/>
                  <w:shd w:fill="e3e3e3"/>
                </w:tcPr>
                <w:p>
                  <w:r>
                    <w:t>Deadline (English)</w:t>
                  </w:r>
                </w:p>
              </w:tc>
              <w:tc>
                <w:tcPr>
                  <w:tcW w:type="dxa" w:w="7257"/>
                </w:tcPr>
                <w:p>
                  <w:r>
                    <w:t>Ongoing, annually</w:t>
                  </w:r>
                </w:p>
              </w:tc>
            </w:tr>
            <w:tr>
              <w:tc>
                <w:tcPr>
                  <w:tcW w:type="dxa" w:w="2092"/>
                  <w:shd w:fill="e3e3e3"/>
                </w:tcPr>
                <w:p>
                  <w:r>
                    <w:t>Deadline (French)</w:t>
                  </w:r>
                </w:p>
              </w:tc>
              <w:tc>
                <w:tcPr>
                  <w:tcW w:type="dxa" w:w="7257"/>
                </w:tcPr>
                <w:p>
                  <w:r>
                    <w:t>Permanent, chaque année</w:t>
                  </w:r>
                </w:p>
              </w:tc>
            </w:tr>
            <w:tr>
              <w:tc>
                <w:tcPr>
                  <w:tcW w:type="dxa" w:w="2092"/>
                  <w:shd w:fill="e3e3e3"/>
                </w:tcPr>
                <w:p>
                  <w:r>
                    <w:t>Lead Department</w:t>
                  </w:r>
                </w:p>
              </w:tc>
              <w:tc>
                <w:tcPr>
                  <w:tcW w:type="dxa" w:w="7257"/>
                </w:tcPr>
                <w:p>
                  <w:r>
                    <w:t>pwgsc-tpsgc</w:t>
                  </w:r>
                </w:p>
              </w:tc>
            </w:tr>
          </w:tbl>
          <w:p/>
        </w:tc>
      </w:tr>
      <w:tr>
        <w:tc>
          <w:tcPr>
            <w:tcW w:type="dxa" w:w="2092"/>
          </w:tcPr>
          <w:p>
            <w:r>
              <w:t>C03.4.3</w:t>
            </w:r>
          </w:p>
        </w:tc>
        <w:tc>
          <w:tcPr>
            <w:tcW w:type="dxa" w:w="3628"/>
          </w:tcPr>
          <w:p>
            <w:r>
              <w:t>Develop and maintain a publicly accessible tracker to monitor progress on key commitments related to HR and pay operations and transformation activities.</w:t>
            </w:r>
          </w:p>
        </w:tc>
        <w:tc>
          <w:tcPr>
            <w:tcW w:type="dxa" w:w="3628"/>
          </w:tcPr>
          <w:p>
            <w:r>
              <w:t>Créer et tenir à jour un outil de suivi accessible au public pour surveiller les progrès réalisés par rapport aux principaux engagements liés aux opérations des RH et de la paye et aux activités de transformation.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C03.4.3</w:t>
                  </w:r>
                </w:p>
              </w:tc>
              <w:tc>
                <w:tcPr>
                  <w:tcW w:type="dxa" w:w="7257"/>
                  <w:shd w:fill="ddd8e8"/>
                </w:tcPr>
                <w:p>
                  <w:r>
                    <w:t>Extra Value</w:t>
                  </w:r>
                </w:p>
              </w:tc>
            </w:tr>
            <w:tr>
              <w:tc>
                <w:tcPr>
                  <w:tcW w:type="dxa" w:w="2092"/>
                  <w:shd w:fill="e3e3e3"/>
                </w:tcPr>
                <w:p>
                  <w:r>
                    <w:t>Deadline (English)</w:t>
                  </w:r>
                </w:p>
              </w:tc>
              <w:tc>
                <w:tcPr>
                  <w:tcW w:type="dxa" w:w="7257"/>
                </w:tcPr>
                <w:p>
                  <w:r>
                    <w:t>Updated monthly internally to reflect progress and published quarterly to the [Integrated strategy for human resources and pay webpage](https://www.canada.ca/en/public-services-procurement/services/pay-pension/pay-administration/integrated-strategy-human-resources-pay.html).</w:t>
                    <w:br/>
                    <w:br/>
                    <w:t>Updated annually to reflect new commitments.</w:t>
                    <w:br/>
                  </w:r>
                </w:p>
              </w:tc>
            </w:tr>
            <w:tr>
              <w:tc>
                <w:tcPr>
                  <w:tcW w:type="dxa" w:w="2092"/>
                  <w:shd w:fill="e3e3e3"/>
                </w:tcPr>
                <w:p>
                  <w:r>
                    <w:t>Deadline (French)</w:t>
                  </w:r>
                </w:p>
              </w:tc>
              <w:tc>
                <w:tcPr>
                  <w:tcW w:type="dxa" w:w="7257"/>
                </w:tcPr>
                <w:p>
                  <w:r>
                    <w:t>Effectuer une mise à jour à l'interne chaque mois pour refléter les progrès et procéder à une publication trimestrielle sur [la page Web Stratégie intégrée en matière de ressources humaines et de paye](https://www.canada.ca/fr/services-publics-approvisionnement/services/paye-pension/administration-paye/strategie-integree-ressources-humaines-salaire.html).</w:t>
                    <w:br/>
                    <w:br/>
                    <w:t>Procéder à une mise à jour annuelle pour refléter les nouveaux engagements.</w:t>
                    <w:br/>
                  </w:r>
                </w:p>
              </w:tc>
            </w:tr>
            <w:tr>
              <w:tc>
                <w:tcPr>
                  <w:tcW w:type="dxa" w:w="2092"/>
                  <w:shd w:fill="e3e3e3"/>
                </w:tcPr>
                <w:p>
                  <w:r>
                    <w:t>Lead Department</w:t>
                  </w:r>
                </w:p>
              </w:tc>
              <w:tc>
                <w:tcPr>
                  <w:tcW w:type="dxa" w:w="7257"/>
                </w:tcPr>
                <w:p>
                  <w:r>
                    <w:t>pwgsc-tpsgc</w:t>
                  </w:r>
                </w:p>
              </w:tc>
            </w:tr>
          </w:tbl>
          <w:p/>
        </w:tc>
      </w:tr>
      <w:tr>
        <w:tc>
          <w:tcPr>
            <w:tcW w:type="dxa" w:w="2092"/>
          </w:tcPr>
          <w:p>
            <w:r>
              <w:t>C04.1.1</w:t>
            </w:r>
          </w:p>
        </w:tc>
        <w:tc>
          <w:tcPr>
            <w:tcW w:type="dxa" w:w="3628"/>
          </w:tcPr>
          <w:p>
            <w:r>
              <w:t>Review the processes required for Indigenous people when accessing their data and information held by the RCMP.</w:t>
            </w:r>
          </w:p>
        </w:tc>
        <w:tc>
          <w:tcPr>
            <w:tcW w:type="dxa" w:w="3628"/>
          </w:tcPr>
          <w:p>
            <w:r>
              <w:t>Examiner les processus requis pour les peuples autochtones lorsqu'ils accèdent à leurs données et aux renseignements détenus par la GRC.</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C04.1.1</w:t>
                  </w:r>
                </w:p>
              </w:tc>
              <w:tc>
                <w:tcPr>
                  <w:tcW w:type="dxa" w:w="7257"/>
                  <w:shd w:fill="ddd8e8"/>
                </w:tcPr>
                <w:p>
                  <w:r>
                    <w:t>Extra Value</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C04.1.2</w:t>
            </w:r>
          </w:p>
        </w:tc>
        <w:tc>
          <w:tcPr>
            <w:tcW w:type="dxa" w:w="3628"/>
          </w:tcPr>
          <w:p>
            <w:r>
              <w:t>Collaborate with Indigenous communities (First Nations, Inuit and Métis communities) to determine what information should be prioritized in the process.</w:t>
            </w:r>
          </w:p>
        </w:tc>
        <w:tc>
          <w:tcPr>
            <w:tcW w:type="dxa" w:w="3628"/>
          </w:tcPr>
          <w:p>
            <w:r>
              <w:t>Collaborer avec les communautés autochtones (communautés inuites, métisses et des Premières Nations) pour déterminer les renseignements prioritaires dans le cadre du processus.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C04.1.2</w:t>
                  </w:r>
                </w:p>
              </w:tc>
              <w:tc>
                <w:tcPr>
                  <w:tcW w:type="dxa" w:w="7257"/>
                  <w:shd w:fill="ddd8e8"/>
                </w:tcPr>
                <w:p>
                  <w:r>
                    <w:t>Extra Value</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C04.1.3</w:t>
            </w:r>
          </w:p>
        </w:tc>
        <w:tc>
          <w:tcPr>
            <w:tcW w:type="dxa" w:w="3628"/>
          </w:tcPr>
          <w:p>
            <w:r>
              <w:t>Identify and address key barriers in the process to promote proactive disclosure for Indigenous communities accessing their data.</w:t>
            </w:r>
          </w:p>
        </w:tc>
        <w:tc>
          <w:tcPr>
            <w:tcW w:type="dxa" w:w="3628"/>
          </w:tcPr>
          <w:p>
            <w:r>
              <w:t>Cerner et éliminer les principaux obstacles au processus afin de promouvoir la communication proactive pour les communautés autochtones qui accèdent à leurs données.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C04.1.3</w:t>
                  </w:r>
                </w:p>
              </w:tc>
              <w:tc>
                <w:tcPr>
                  <w:tcW w:type="dxa" w:w="7257"/>
                  <w:shd w:fill="ddd8e8"/>
                </w:tcPr>
                <w:p>
                  <w:r>
                    <w:t>Extra Value</w:t>
                  </w:r>
                </w:p>
              </w:tc>
            </w:tr>
            <w:tr>
              <w:tc>
                <w:tcPr>
                  <w:tcW w:type="dxa" w:w="2092"/>
                  <w:shd w:fill="e3e3e3"/>
                </w:tcPr>
                <w:p>
                  <w:r>
                    <w:t>Deadline (English)</w:t>
                  </w:r>
                </w:p>
              </w:tc>
              <w:tc>
                <w:tcPr>
                  <w:tcW w:type="dxa" w:w="7257"/>
                </w:tcPr>
                <w:p>
                  <w:r>
                    <w:t>By end of 2028</w:t>
                  </w:r>
                </w:p>
              </w:tc>
            </w:tr>
            <w:tr>
              <w:tc>
                <w:tcPr>
                  <w:tcW w:type="dxa" w:w="2092"/>
                  <w:shd w:fill="e3e3e3"/>
                </w:tcPr>
                <w:p>
                  <w:r>
                    <w:t>Deadline (French)</w:t>
                  </w:r>
                </w:p>
              </w:tc>
              <w:tc>
                <w:tcPr>
                  <w:tcW w:type="dxa" w:w="7257"/>
                </w:tcPr>
                <w:p>
                  <w:r>
                    <w:t>D'ici la fin de 2028</w:t>
                  </w:r>
                </w:p>
              </w:tc>
            </w:tr>
            <w:tr>
              <w:tc>
                <w:tcPr>
                  <w:tcW w:type="dxa" w:w="2092"/>
                  <w:shd w:fill="e3e3e3"/>
                </w:tcPr>
                <w:p>
                  <w:r>
                    <w:t>Lead Department</w:t>
                  </w:r>
                </w:p>
              </w:tc>
              <w:tc>
                <w:tcPr>
                  <w:tcW w:type="dxa" w:w="7257"/>
                </w:tcPr>
                <w:p>
                  <w:r>
                    <w:t>rcmp-grc</w:t>
                  </w:r>
                </w:p>
              </w:tc>
            </w:tr>
          </w:tbl>
          <w:p/>
        </w:tc>
      </w:tr>
      <w:tr>
        <w:tc>
          <w:tcPr>
            <w:tcW w:type="dxa" w:w="2092"/>
          </w:tcPr>
          <w:p>
            <w:r>
              <w:t>C04.2.1</w:t>
            </w:r>
          </w:p>
        </w:tc>
        <w:tc>
          <w:tcPr>
            <w:tcW w:type="dxa" w:w="3628"/>
          </w:tcPr>
          <w:p>
            <w:r>
              <w:t>Consult stakeholders on the essential content and desired outcomes of a foundational training or learning program for the federal public service on open data.</w:t>
            </w:r>
          </w:p>
        </w:tc>
        <w:tc>
          <w:tcPr>
            <w:tcW w:type="dxa" w:w="3628"/>
          </w:tcPr>
          <w:p>
            <w:r>
              <w:t>Consulter les intervenants sur le contenu essentiel et les résultats souhaités relativement à une formation de base ou à un programme d'apprentissage sur les données ouvertes s'adressant à la fonction publique fédérale.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C04.2.1</w:t>
                  </w:r>
                </w:p>
              </w:tc>
              <w:tc>
                <w:tcPr>
                  <w:tcW w:type="dxa" w:w="7257"/>
                  <w:shd w:fill="ddd8e8"/>
                </w:tcPr>
                <w:p>
                  <w:r>
                    <w:t>Extra Value</w:t>
                  </w:r>
                </w:p>
              </w:tc>
            </w:tr>
            <w:tr>
              <w:tc>
                <w:tcPr>
                  <w:tcW w:type="dxa" w:w="2092"/>
                  <w:shd w:fill="e3e3e3"/>
                </w:tcPr>
                <w:p>
                  <w:r>
                    <w:t>Deadline (English)</w:t>
                  </w:r>
                </w:p>
              </w:tc>
              <w:tc>
                <w:tcPr>
                  <w:tcW w:type="dxa" w:w="7257"/>
                </w:tcPr>
                <w:p>
                  <w:r>
                    <w:t>By December 2026</w:t>
                  </w:r>
                </w:p>
              </w:tc>
            </w:tr>
            <w:tr>
              <w:tc>
                <w:tcPr>
                  <w:tcW w:type="dxa" w:w="2092"/>
                  <w:shd w:fill="e3e3e3"/>
                </w:tcPr>
                <w:p>
                  <w:r>
                    <w:t>Deadline (French)</w:t>
                  </w:r>
                </w:p>
              </w:tc>
              <w:tc>
                <w:tcPr>
                  <w:tcW w:type="dxa" w:w="7257"/>
                </w:tcPr>
                <w:p>
                  <w:r>
                    <w:t>D'ici décembre 2026</w:t>
                  </w:r>
                </w:p>
              </w:tc>
            </w:tr>
            <w:tr>
              <w:tc>
                <w:tcPr>
                  <w:tcW w:type="dxa" w:w="2092"/>
                  <w:shd w:fill="e3e3e3"/>
                </w:tcPr>
                <w:p>
                  <w:r>
                    <w:t>Lead Department</w:t>
                  </w:r>
                </w:p>
              </w:tc>
              <w:tc>
                <w:tcPr>
                  <w:tcW w:type="dxa" w:w="7257"/>
                </w:tcPr>
                <w:p>
                  <w:r>
                    <w:t>tbs-sct</w:t>
                  </w:r>
                </w:p>
              </w:tc>
            </w:tr>
          </w:tbl>
          <w:p/>
        </w:tc>
      </w:tr>
      <w:tr>
        <w:tc>
          <w:tcPr>
            <w:tcW w:type="dxa" w:w="2092"/>
          </w:tcPr>
          <w:p>
            <w:r>
              <w:t>C04.2.2</w:t>
            </w:r>
          </w:p>
        </w:tc>
        <w:tc>
          <w:tcPr>
            <w:tcW w:type="dxa" w:w="3628"/>
          </w:tcPr>
          <w:p>
            <w:r>
              <w:t>Co-create the module(s) with civil society and Canada School of Public Service and do user testing.</w:t>
            </w:r>
          </w:p>
        </w:tc>
        <w:tc>
          <w:tcPr>
            <w:tcW w:type="dxa" w:w="3628"/>
          </w:tcPr>
          <w:p>
            <w:r>
              <w:t>Créer un ou des modules en collaboration avec la société civile et l'École de la fonction publique du Canada et procéder à des essais par les utilisateurs.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C04.2.2</w:t>
                  </w:r>
                </w:p>
              </w:tc>
              <w:tc>
                <w:tcPr>
                  <w:tcW w:type="dxa" w:w="7257"/>
                  <w:shd w:fill="ddd8e8"/>
                </w:tcPr>
                <w:p>
                  <w:r>
                    <w:t>Extra Value</w:t>
                  </w:r>
                </w:p>
              </w:tc>
            </w:tr>
            <w:tr>
              <w:tc>
                <w:tcPr>
                  <w:tcW w:type="dxa" w:w="2092"/>
                  <w:shd w:fill="e3e3e3"/>
                </w:tcPr>
                <w:p>
                  <w:r>
                    <w:t>Deadline (English)</w:t>
                  </w:r>
                </w:p>
              </w:tc>
              <w:tc>
                <w:tcPr>
                  <w:tcW w:type="dxa" w:w="7257"/>
                </w:tcPr>
                <w:p>
                  <w:r>
                    <w:t>By December 2027</w:t>
                  </w:r>
                </w:p>
              </w:tc>
            </w:tr>
            <w:tr>
              <w:tc>
                <w:tcPr>
                  <w:tcW w:type="dxa" w:w="2092"/>
                  <w:shd w:fill="e3e3e3"/>
                </w:tcPr>
                <w:p>
                  <w:r>
                    <w:t>Deadline (French)</w:t>
                  </w:r>
                </w:p>
              </w:tc>
              <w:tc>
                <w:tcPr>
                  <w:tcW w:type="dxa" w:w="7257"/>
                </w:tcPr>
                <w:p>
                  <w:r>
                    <w:t>D'ici décembre 2027</w:t>
                  </w:r>
                </w:p>
              </w:tc>
            </w:tr>
            <w:tr>
              <w:tc>
                <w:tcPr>
                  <w:tcW w:type="dxa" w:w="2092"/>
                  <w:shd w:fill="e3e3e3"/>
                </w:tcPr>
                <w:p>
                  <w:r>
                    <w:t>Lead Department</w:t>
                  </w:r>
                </w:p>
              </w:tc>
              <w:tc>
                <w:tcPr>
                  <w:tcW w:type="dxa" w:w="7257"/>
                </w:tcPr>
                <w:p>
                  <w:r>
                    <w:t>tbs-sct</w:t>
                  </w:r>
                </w:p>
              </w:tc>
            </w:tr>
          </w:tbl>
          <w:p/>
        </w:tc>
      </w:tr>
      <w:tr>
        <w:tc>
          <w:tcPr>
            <w:tcW w:type="dxa" w:w="2092"/>
          </w:tcPr>
          <w:p>
            <w:r>
              <w:t>C04.2.3</w:t>
            </w:r>
          </w:p>
        </w:tc>
        <w:tc>
          <w:tcPr>
            <w:tcW w:type="dxa" w:w="3628"/>
          </w:tcPr>
          <w:p>
            <w:r>
              <w:t>Publish the module(s) on an appropriate platform.</w:t>
            </w:r>
          </w:p>
        </w:tc>
        <w:tc>
          <w:tcPr>
            <w:tcW w:type="dxa" w:w="3628"/>
          </w:tcPr>
          <w:p>
            <w:r>
              <w:t>Publier le ou les modules sur une plateforme appropriée.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C04.2.3</w:t>
                  </w:r>
                </w:p>
              </w:tc>
              <w:tc>
                <w:tcPr>
                  <w:tcW w:type="dxa" w:w="7257"/>
                  <w:shd w:fill="ddd8e8"/>
                </w:tcPr>
                <w:p>
                  <w:r>
                    <w:t>Extra Value</w:t>
                  </w:r>
                </w:p>
              </w:tc>
            </w:tr>
            <w:tr>
              <w:tc>
                <w:tcPr>
                  <w:tcW w:type="dxa" w:w="2092"/>
                  <w:shd w:fill="e3e3e3"/>
                </w:tcPr>
                <w:p>
                  <w:r>
                    <w:t>Deadline (English)</w:t>
                  </w:r>
                </w:p>
              </w:tc>
              <w:tc>
                <w:tcPr>
                  <w:tcW w:type="dxa" w:w="7257"/>
                </w:tcPr>
                <w:p>
                  <w:r>
                    <w:t>By December 2028</w:t>
                  </w:r>
                </w:p>
              </w:tc>
            </w:tr>
            <w:tr>
              <w:tc>
                <w:tcPr>
                  <w:tcW w:type="dxa" w:w="2092"/>
                  <w:shd w:fill="e3e3e3"/>
                </w:tcPr>
                <w:p>
                  <w:r>
                    <w:t>Deadline (French)</w:t>
                  </w:r>
                </w:p>
              </w:tc>
              <w:tc>
                <w:tcPr>
                  <w:tcW w:type="dxa" w:w="7257"/>
                </w:tcPr>
                <w:p>
                  <w:r>
                    <w:t>D'ici décembre 2028</w:t>
                  </w:r>
                </w:p>
              </w:tc>
            </w:tr>
            <w:tr>
              <w:tc>
                <w:tcPr>
                  <w:tcW w:type="dxa" w:w="2092"/>
                  <w:shd w:fill="e3e3e3"/>
                </w:tcPr>
                <w:p>
                  <w:r>
                    <w:t>Lead Department</w:t>
                  </w:r>
                </w:p>
              </w:tc>
              <w:tc>
                <w:tcPr>
                  <w:tcW w:type="dxa" w:w="7257"/>
                </w:tcPr>
                <w:p>
                  <w:r>
                    <w:t>tbs-sct</w:t>
                  </w:r>
                </w:p>
              </w:tc>
            </w:tr>
          </w:tbl>
          <w:p/>
        </w:tc>
      </w:tr>
      <w:tr>
        <w:tc>
          <w:tcPr>
            <w:tcW w:type="dxa" w:w="2092"/>
          </w:tcPr>
          <w:p>
            <w:r>
              <w:t>C04.2.4</w:t>
            </w:r>
          </w:p>
        </w:tc>
        <w:tc>
          <w:tcPr>
            <w:tcW w:type="dxa" w:w="3628"/>
          </w:tcPr>
          <w:p>
            <w:r>
              <w:t>Assess the effectiveness of the update of the module, by soliciting feedback on how to continually improve it.</w:t>
            </w:r>
          </w:p>
        </w:tc>
        <w:tc>
          <w:tcPr>
            <w:tcW w:type="dxa" w:w="3628"/>
          </w:tcPr>
          <w:p>
            <w:r>
              <w:t>Évaluer l'efficacité de la mise à jour du module en sollicitant de la rétroaction sur la façon de l'améliorer de manière continue.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C04.2.4</w:t>
                  </w:r>
                </w:p>
              </w:tc>
              <w:tc>
                <w:tcPr>
                  <w:tcW w:type="dxa" w:w="7257"/>
                  <w:shd w:fill="ddd8e8"/>
                </w:tcPr>
                <w:p>
                  <w:r>
                    <w:t>Extra Value</w:t>
                  </w:r>
                </w:p>
              </w:tc>
            </w:tr>
            <w:tr>
              <w:tc>
                <w:tcPr>
                  <w:tcW w:type="dxa" w:w="2092"/>
                  <w:shd w:fill="e3e3e3"/>
                </w:tcPr>
                <w:p>
                  <w:r>
                    <w:t>Deadline (English)</w:t>
                  </w:r>
                </w:p>
              </w:tc>
              <w:tc>
                <w:tcPr>
                  <w:tcW w:type="dxa" w:w="7257"/>
                </w:tcPr>
                <w:p>
                  <w:r>
                    <w:t>By December 2029</w:t>
                  </w:r>
                </w:p>
              </w:tc>
            </w:tr>
            <w:tr>
              <w:tc>
                <w:tcPr>
                  <w:tcW w:type="dxa" w:w="2092"/>
                  <w:shd w:fill="e3e3e3"/>
                </w:tcPr>
                <w:p>
                  <w:r>
                    <w:t>Deadline (French)</w:t>
                  </w:r>
                </w:p>
              </w:tc>
              <w:tc>
                <w:tcPr>
                  <w:tcW w:type="dxa" w:w="7257"/>
                </w:tcPr>
                <w:p>
                  <w:r>
                    <w:t>D'ici décembre 2029</w:t>
                  </w:r>
                </w:p>
              </w:tc>
            </w:tr>
            <w:tr>
              <w:tc>
                <w:tcPr>
                  <w:tcW w:type="dxa" w:w="2092"/>
                  <w:shd w:fill="e3e3e3"/>
                </w:tcPr>
                <w:p>
                  <w:r>
                    <w:t>Lead Department</w:t>
                  </w:r>
                </w:p>
              </w:tc>
              <w:tc>
                <w:tcPr>
                  <w:tcW w:type="dxa" w:w="7257"/>
                </w:tcPr>
                <w:p>
                  <w:r>
                    <w:t>tbs-sct</w:t>
                  </w:r>
                </w:p>
              </w:tc>
            </w:tr>
          </w:tbl>
          <w:p/>
        </w:tc>
      </w:tr>
      <w:tr>
        <w:tc>
          <w:tcPr>
            <w:tcW w:type="dxa" w:w="2092"/>
          </w:tcPr>
          <w:p>
            <w:r>
              <w:t>C04.3.1</w:t>
            </w:r>
          </w:p>
        </w:tc>
        <w:tc>
          <w:tcPr>
            <w:tcW w:type="dxa" w:w="3628"/>
          </w:tcPr>
          <w:p>
            <w:r>
              <w:t>Number of hits on the National Justice Survey results</w:t>
            </w:r>
          </w:p>
        </w:tc>
        <w:tc>
          <w:tcPr>
            <w:tcW w:type="dxa" w:w="3628"/>
          </w:tcPr>
          <w:p>
            <w:r>
              <w:t>Nombre de consultations des résultats du Sondage national sur la justice.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C04.3.1</w:t>
                  </w:r>
                </w:p>
              </w:tc>
              <w:tc>
                <w:tcPr>
                  <w:tcW w:type="dxa" w:w="7257"/>
                  <w:shd w:fill="ddd8e8"/>
                </w:tcPr>
                <w:p>
                  <w:r>
                    <w:t>Extra Value</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C04.3.2</w:t>
            </w:r>
          </w:p>
        </w:tc>
        <w:tc>
          <w:tcPr>
            <w:tcW w:type="dxa" w:w="3628"/>
          </w:tcPr>
          <w:p>
            <w:r>
              <w:t>Number of Justice Canada research publications and resources that use National Justice Survey data and are publicly available</w:t>
            </w:r>
          </w:p>
        </w:tc>
        <w:tc>
          <w:tcPr>
            <w:tcW w:type="dxa" w:w="3628"/>
          </w:tcPr>
          <w:p>
            <w:r>
              <w:t>Nombre de ressources et de publications de recherche du ministère de la Justice Canada utilisant les données du Sondage national sur la justice et qui sont accessibles au public.</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C04.3.2</w:t>
                  </w:r>
                </w:p>
              </w:tc>
              <w:tc>
                <w:tcPr>
                  <w:tcW w:type="dxa" w:w="7257"/>
                  <w:shd w:fill="ddd8e8"/>
                </w:tcPr>
                <w:p>
                  <w:r>
                    <w:t>Extra Value</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C04.3.3</w:t>
            </w:r>
          </w:p>
        </w:tc>
        <w:tc>
          <w:tcPr>
            <w:tcW w:type="dxa" w:w="3628"/>
          </w:tcPr>
          <w:p>
            <w:r>
              <w:t>Provide examples of National Justice Survey data being used to inform decision-making</w:t>
            </w:r>
          </w:p>
        </w:tc>
        <w:tc>
          <w:tcPr>
            <w:tcW w:type="dxa" w:w="3628"/>
          </w:tcPr>
          <w:p>
            <w:r>
              <w:t>Fournir des exemples de données du Sondage national sur la justice qui sont utilisées pour éclairer le processus décisionnel.</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C04.3.3</w:t>
                  </w:r>
                </w:p>
              </w:tc>
              <w:tc>
                <w:tcPr>
                  <w:tcW w:type="dxa" w:w="7257"/>
                  <w:shd w:fill="ddd8e8"/>
                </w:tcPr>
                <w:p>
                  <w:r>
                    <w:t>Extra Value</w:t>
                  </w:r>
                </w:p>
              </w:tc>
            </w:tr>
            <w:tr>
              <w:tc>
                <w:tcPr>
                  <w:tcW w:type="dxa" w:w="2092"/>
                  <w:shd w:fill="e3e3e3"/>
                </w:tcPr>
                <w:p>
                  <w:r>
                    <w:t>Deadline (English)</w:t>
                  </w:r>
                </w:p>
              </w:tc>
              <w:tc>
                <w:tcPr>
                  <w:tcW w:type="dxa" w:w="7257"/>
                </w:tcPr>
                <w:p>
                  <w:r>
                    <w:t>Feedback will be compiled in March 2027 and at the end of the commitment and published in a report.</w:t>
                  </w:r>
                </w:p>
              </w:tc>
            </w:tr>
            <w:tr>
              <w:tc>
                <w:tcPr>
                  <w:tcW w:type="dxa" w:w="2092"/>
                  <w:shd w:fill="e3e3e3"/>
                </w:tcPr>
                <w:p>
                  <w:r>
                    <w:t>Deadline (French)</w:t>
                  </w:r>
                </w:p>
              </w:tc>
              <w:tc>
                <w:tcPr>
                  <w:tcW w:type="dxa" w:w="7257"/>
                </w:tcPr>
                <w:p>
                  <w:r>
                    <w:t>La rétroaction sera compilée en mars 2027 ainsi qu'à la fin de l'engagement et publiée dans un rapport.</w:t>
                  </w:r>
                </w:p>
              </w:tc>
            </w:tr>
            <w:tr>
              <w:tc>
                <w:tcPr>
                  <w:tcW w:type="dxa" w:w="2092"/>
                  <w:shd w:fill="e3e3e3"/>
                </w:tcPr>
                <w:p>
                  <w:r>
                    <w:t>Lead Department</w:t>
                  </w:r>
                </w:p>
              </w:tc>
              <w:tc>
                <w:tcPr>
                  <w:tcW w:type="dxa" w:w="7257"/>
                </w:tcPr>
                <w:p>
                  <w:r>
                    <w:t>jus</w:t>
                  </w:r>
                </w:p>
              </w:tc>
            </w:tr>
          </w:tbl>
          <w:p/>
        </w:tc>
      </w:tr>
      <w:tr>
        <w:tc>
          <w:tcPr>
            <w:tcW w:type="dxa" w:w="2092"/>
          </w:tcPr>
          <w:p>
            <w:r>
              <w:t>C04.3.4</w:t>
            </w:r>
          </w:p>
        </w:tc>
        <w:tc>
          <w:tcPr>
            <w:tcW w:type="dxa" w:w="3628"/>
          </w:tcPr>
          <w:p>
            <w:r>
              <w:t>Qualitative feedback from key stakeholders on accessibility and usability of the data.</w:t>
            </w:r>
          </w:p>
        </w:tc>
        <w:tc>
          <w:tcPr>
            <w:tcW w:type="dxa" w:w="3628"/>
          </w:tcPr>
          <w:p>
            <w:r>
              <w:t>Rétroaction qualitative des intervenants clés sur l'accessibilité et la facilité d'utilisation des données.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C04.3.4</w:t>
                  </w:r>
                </w:p>
              </w:tc>
              <w:tc>
                <w:tcPr>
                  <w:tcW w:type="dxa" w:w="7257"/>
                  <w:shd w:fill="ddd8e8"/>
                </w:tcPr>
                <w:p>
                  <w:r>
                    <w:t>Extra Value</w:t>
                  </w:r>
                </w:p>
              </w:tc>
            </w:tr>
            <w:tr>
              <w:tc>
                <w:tcPr>
                  <w:tcW w:type="dxa" w:w="2092"/>
                  <w:shd w:fill="e3e3e3"/>
                </w:tcPr>
                <w:p>
                  <w:r>
                    <w:t>Deadline (English)</w:t>
                  </w:r>
                </w:p>
              </w:tc>
              <w:tc>
                <w:tcPr>
                  <w:tcW w:type="dxa" w:w="7257"/>
                </w:tcPr>
                <w:p>
                  <w:r>
                    <w:t>Feedback will be compiled in March 2027 and at the end of the commitment and published in a report.</w:t>
                  </w:r>
                </w:p>
              </w:tc>
            </w:tr>
            <w:tr>
              <w:tc>
                <w:tcPr>
                  <w:tcW w:type="dxa" w:w="2092"/>
                  <w:shd w:fill="e3e3e3"/>
                </w:tcPr>
                <w:p>
                  <w:r>
                    <w:t>Deadline (French)</w:t>
                  </w:r>
                </w:p>
              </w:tc>
              <w:tc>
                <w:tcPr>
                  <w:tcW w:type="dxa" w:w="7257"/>
                </w:tcPr>
                <w:p>
                  <w:r>
                    <w:t>La rétroaction sera compilée en mars 2027 ainsi qu'à la fin de l'engagement et publiée dans un rapport</w:t>
                  </w:r>
                </w:p>
              </w:tc>
            </w:tr>
            <w:tr>
              <w:tc>
                <w:tcPr>
                  <w:tcW w:type="dxa" w:w="2092"/>
                  <w:shd w:fill="e3e3e3"/>
                </w:tcPr>
                <w:p>
                  <w:r>
                    <w:t>Lead Department</w:t>
                  </w:r>
                </w:p>
              </w:tc>
              <w:tc>
                <w:tcPr>
                  <w:tcW w:type="dxa" w:w="7257"/>
                </w:tcPr>
                <w:p>
                  <w:r>
                    <w:t>jus</w:t>
                  </w:r>
                </w:p>
              </w:tc>
            </w:tr>
          </w:tbl>
          <w:p/>
        </w:tc>
      </w:tr>
      <w:tr>
        <w:tc>
          <w:tcPr>
            <w:tcW w:type="dxa" w:w="2092"/>
          </w:tcPr>
          <w:p>
            <w:r>
              <w:t>C04.4.1</w:t>
            </w:r>
          </w:p>
        </w:tc>
        <w:tc>
          <w:tcPr>
            <w:tcW w:type="dxa" w:w="3628"/>
          </w:tcPr>
          <w:p>
            <w:r>
              <w:t>Number of Canada's State of the Criminal Justice System Dashboard indicators that have been automated</w:t>
            </w:r>
          </w:p>
        </w:tc>
        <w:tc>
          <w:tcPr>
            <w:tcW w:type="dxa" w:w="3628"/>
          </w:tcPr>
          <w:p>
            <w:r>
              <w:t>Nombre d'indicateurs du Tableau de bord sur l'état du système de justice pénale du Canada qui ont été automatisés.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C04.4.1</w:t>
                  </w:r>
                </w:p>
              </w:tc>
              <w:tc>
                <w:tcPr>
                  <w:tcW w:type="dxa" w:w="7257"/>
                  <w:shd w:fill="ddd8e8"/>
                </w:tcPr>
                <w:p>
                  <w:r>
                    <w:t>Extra Value</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C04.4.2</w:t>
            </w:r>
          </w:p>
        </w:tc>
        <w:tc>
          <w:tcPr>
            <w:tcW w:type="dxa" w:w="3628"/>
          </w:tcPr>
          <w:p>
            <w:r>
              <w:t>Number of hits on Canada's State of the Criminal Justice System Dashboard webpages</w:t>
            </w:r>
          </w:p>
        </w:tc>
        <w:tc>
          <w:tcPr>
            <w:tcW w:type="dxa" w:w="3628"/>
          </w:tcPr>
          <w:p>
            <w:r>
              <w:t>Nombre de visites des pages Web du Tableau de bord sur l'état du système de justice pénale du Canada.</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C04.4.2</w:t>
                  </w:r>
                </w:p>
              </w:tc>
              <w:tc>
                <w:tcPr>
                  <w:tcW w:type="dxa" w:w="7257"/>
                  <w:shd w:fill="ddd8e8"/>
                </w:tcPr>
                <w:p>
                  <w:r>
                    <w:t>Extra Value</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C04.4.3</w:t>
            </w:r>
          </w:p>
        </w:tc>
        <w:tc>
          <w:tcPr>
            <w:tcW w:type="dxa" w:w="3628"/>
          </w:tcPr>
          <w:p>
            <w:r>
              <w:t>Provide examples of data being used to inform decision-making.</w:t>
            </w:r>
          </w:p>
        </w:tc>
        <w:tc>
          <w:tcPr>
            <w:tcW w:type="dxa" w:w="3628"/>
          </w:tcPr>
          <w:p>
            <w:r>
              <w:t>Fournir des exemples de données qui sont utilisées pour éclairer le processus décisionnel.</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C04.4.3</w:t>
                  </w:r>
                </w:p>
              </w:tc>
              <w:tc>
                <w:tcPr>
                  <w:tcW w:type="dxa" w:w="7257"/>
                  <w:shd w:fill="ddd8e8"/>
                </w:tcPr>
                <w:p>
                  <w:r>
                    <w:t>Extra Value</w:t>
                  </w:r>
                </w:p>
              </w:tc>
            </w:tr>
            <w:tr>
              <w:tc>
                <w:tcPr>
                  <w:tcW w:type="dxa" w:w="2092"/>
                  <w:shd w:fill="e3e3e3"/>
                </w:tcPr>
                <w:p>
                  <w:r>
                    <w:t>Deadline (English)</w:t>
                  </w:r>
                </w:p>
              </w:tc>
              <w:tc>
                <w:tcPr>
                  <w:tcW w:type="dxa" w:w="7257"/>
                </w:tcPr>
                <w:p>
                  <w:r>
                    <w:t>Examples will be compiled in March 2027 and at the end of the commitment and shared via public report.</w:t>
                  </w:r>
                </w:p>
              </w:tc>
            </w:tr>
            <w:tr>
              <w:tc>
                <w:tcPr>
                  <w:tcW w:type="dxa" w:w="2092"/>
                  <w:shd w:fill="e3e3e3"/>
                </w:tcPr>
                <w:p>
                  <w:r>
                    <w:t>Deadline (French)</w:t>
                  </w:r>
                </w:p>
              </w:tc>
              <w:tc>
                <w:tcPr>
                  <w:tcW w:type="dxa" w:w="7257"/>
                </w:tcPr>
                <w:p>
                  <w:r>
                    <w:t>Les exemples seront compilés en mars 2027 ainsi qu'à la fin de l'engagement et publiés dans un rapport public</w:t>
                  </w:r>
                </w:p>
              </w:tc>
            </w:tr>
            <w:tr>
              <w:tc>
                <w:tcPr>
                  <w:tcW w:type="dxa" w:w="2092"/>
                  <w:shd w:fill="e3e3e3"/>
                </w:tcPr>
                <w:p>
                  <w:r>
                    <w:t>Lead Department</w:t>
                  </w:r>
                </w:p>
              </w:tc>
              <w:tc>
                <w:tcPr>
                  <w:tcW w:type="dxa" w:w="7257"/>
                </w:tcPr>
                <w:p>
                  <w:r>
                    <w:t>jus</w:t>
                  </w:r>
                </w:p>
              </w:tc>
            </w:tr>
          </w:tbl>
          <w:p/>
        </w:tc>
      </w:tr>
      <w:tr>
        <w:tc>
          <w:tcPr>
            <w:tcW w:type="dxa" w:w="2092"/>
          </w:tcPr>
          <w:p>
            <w:r>
              <w:t>C04.4.4</w:t>
            </w:r>
          </w:p>
        </w:tc>
        <w:tc>
          <w:tcPr>
            <w:tcW w:type="dxa" w:w="3628"/>
          </w:tcPr>
          <w:p>
            <w:r>
              <w:t>Qualitative feedback from key stakeholders on accessibility and usability of the data.</w:t>
            </w:r>
          </w:p>
        </w:tc>
        <w:tc>
          <w:tcPr>
            <w:tcW w:type="dxa" w:w="3628"/>
          </w:tcPr>
          <w:p>
            <w:r>
              <w:t>Rétroaction qualitative des intervenants clés sur l'accessibilité et la facilité d'utilisation des données.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C04.4.4</w:t>
                  </w:r>
                </w:p>
              </w:tc>
              <w:tc>
                <w:tcPr>
                  <w:tcW w:type="dxa" w:w="7257"/>
                  <w:shd w:fill="ddd8e8"/>
                </w:tcPr>
                <w:p>
                  <w:r>
                    <w:t>Extra Value</w:t>
                  </w:r>
                </w:p>
              </w:tc>
            </w:tr>
            <w:tr>
              <w:tc>
                <w:tcPr>
                  <w:tcW w:type="dxa" w:w="2092"/>
                  <w:shd w:fill="e3e3e3"/>
                </w:tcPr>
                <w:p>
                  <w:r>
                    <w:t>Deadline (English)</w:t>
                  </w:r>
                </w:p>
              </w:tc>
              <w:tc>
                <w:tcPr>
                  <w:tcW w:type="dxa" w:w="7257"/>
                </w:tcPr>
                <w:p>
                  <w:r>
                    <w:t>Feedback will be compiled in March 2027 and at the end of the commitment and shared via public report.</w:t>
                  </w:r>
                </w:p>
              </w:tc>
            </w:tr>
            <w:tr>
              <w:tc>
                <w:tcPr>
                  <w:tcW w:type="dxa" w:w="2092"/>
                  <w:shd w:fill="e3e3e3"/>
                </w:tcPr>
                <w:p>
                  <w:r>
                    <w:t>Deadline (French)</w:t>
                  </w:r>
                </w:p>
              </w:tc>
              <w:tc>
                <w:tcPr>
                  <w:tcW w:type="dxa" w:w="7257"/>
                </w:tcPr>
                <w:p>
                  <w:r>
                    <w:t>La rétroaction sera compilée en mars 2027 ainsi qu'à la fin de l'engagement et publiée dans un rapport public</w:t>
                  </w:r>
                </w:p>
              </w:tc>
            </w:tr>
            <w:tr>
              <w:tc>
                <w:tcPr>
                  <w:tcW w:type="dxa" w:w="2092"/>
                  <w:shd w:fill="e3e3e3"/>
                </w:tcPr>
                <w:p>
                  <w:r>
                    <w:t>Lead Department</w:t>
                  </w:r>
                </w:p>
              </w:tc>
              <w:tc>
                <w:tcPr>
                  <w:tcW w:type="dxa" w:w="7257"/>
                </w:tcPr>
                <w:p>
                  <w:r>
                    <w:t>jus</w:t>
                  </w:r>
                </w:p>
              </w:tc>
            </w:tr>
          </w:tbl>
          <w:p/>
        </w:tc>
      </w:tr>
      <w:tr>
        <w:tc>
          <w:tcPr>
            <w:tcW w:type="dxa" w:w="2092"/>
          </w:tcPr>
          <w:p>
            <w:r>
              <w:t>C04.5.1</w:t>
            </w:r>
          </w:p>
        </w:tc>
        <w:tc>
          <w:tcPr>
            <w:tcW w:type="dxa" w:w="3628"/>
          </w:tcPr>
          <w:p>
            <w:r>
              <w:t>The number of administrative bodies (federal, provincial and territorial) that apply the Access to Justice Index to their operations for an initial assessment.</w:t>
            </w:r>
          </w:p>
        </w:tc>
        <w:tc>
          <w:tcPr>
            <w:tcW w:type="dxa" w:w="3628"/>
          </w:tcPr>
          <w:p>
            <w:r>
              <w:t>Nombre d'entités administratives (fédérales, provinciales et territoriales) qui appliquent l'Indice de l'accès à la justice à leurs activités pour une première évaluation.</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C04.5.1</w:t>
                  </w:r>
                </w:p>
              </w:tc>
              <w:tc>
                <w:tcPr>
                  <w:tcW w:type="dxa" w:w="7257"/>
                  <w:shd w:fill="ddd8e8"/>
                </w:tcPr>
                <w:p>
                  <w:r>
                    <w:t>Extra Value</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C04.5.2</w:t>
            </w:r>
          </w:p>
        </w:tc>
        <w:tc>
          <w:tcPr>
            <w:tcW w:type="dxa" w:w="3628"/>
          </w:tcPr>
          <w:p>
            <w:r>
              <w:t>The number of administrative bodies that use the index for a further self-assessment to evaluate progress and identify additional improvements.</w:t>
            </w:r>
          </w:p>
        </w:tc>
        <w:tc>
          <w:tcPr>
            <w:tcW w:type="dxa" w:w="3628"/>
          </w:tcPr>
          <w:p>
            <w:r>
              <w:t>Nombre d'entités administratives qui utilisent l'Indice pour procéder à une autoévaluation plus poussée visant à évaluer les progrès et à cerner toute amélioration supplémentaire requise.</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C04.5.2</w:t>
                  </w:r>
                </w:p>
              </w:tc>
              <w:tc>
                <w:tcPr>
                  <w:tcW w:type="dxa" w:w="7257"/>
                  <w:shd w:fill="ddd8e8"/>
                </w:tcPr>
                <w:p>
                  <w:r>
                    <w:t>Extra Value</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r>
        <w:tc>
          <w:tcPr>
            <w:tcW w:type="dxa" w:w="2092"/>
          </w:tcPr>
          <w:p>
            <w:r>
              <w:t>C04.5.3</w:t>
            </w:r>
          </w:p>
        </w:tc>
        <w:tc>
          <w:tcPr>
            <w:tcW w:type="dxa" w:w="3628"/>
          </w:tcPr>
          <w:p>
            <w:r>
              <w:t>Feedback from administrative bodies on the effectiveness of the index as a tool to support more accessible and user-friendly services.</w:t>
            </w:r>
          </w:p>
        </w:tc>
        <w:tc>
          <w:tcPr>
            <w:tcW w:type="dxa" w:w="3628"/>
          </w:tcPr>
          <w:p>
            <w:r>
              <w:t>Rétroaction des entités administratives sur l'efficacité de l'Indice comme outil favorisant des services plus accessibles et conviviaux.</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C04.5.3</w:t>
                  </w:r>
                </w:p>
              </w:tc>
              <w:tc>
                <w:tcPr>
                  <w:tcW w:type="dxa" w:w="7257"/>
                  <w:shd w:fill="ddd8e8"/>
                </w:tcPr>
                <w:p>
                  <w:r>
                    <w:t>Extra Value</w:t>
                  </w:r>
                </w:p>
              </w:tc>
            </w:tr>
            <w:tr>
              <w:tc>
                <w:tcPr>
                  <w:tcW w:type="dxa" w:w="2092"/>
                  <w:shd w:fill="e3e3e3"/>
                </w:tcPr>
                <w:p>
                  <w:r>
                    <w:t>Deadline (English)</w:t>
                  </w:r>
                </w:p>
              </w:tc>
              <w:tc>
                <w:tcPr>
                  <w:tcW w:type="dxa" w:w="7257"/>
                </w:tcPr>
                <w:p>
                  <w:r>
                    <w:t>Feedback will be compiled at the end of two years of promoting the Index, November 2027.</w:t>
                  </w:r>
                </w:p>
              </w:tc>
            </w:tr>
            <w:tr>
              <w:tc>
                <w:tcPr>
                  <w:tcW w:type="dxa" w:w="2092"/>
                  <w:shd w:fill="e3e3e3"/>
                </w:tcPr>
                <w:p>
                  <w:r>
                    <w:t>Deadline (French)</w:t>
                  </w:r>
                </w:p>
              </w:tc>
              <w:tc>
                <w:tcPr>
                  <w:tcW w:type="dxa" w:w="7257"/>
                </w:tcPr>
                <w:p>
                  <w:r>
                    <w:t>La rétroaction sera compilée à la fin des deux années de promotion de l'Indice, soit en novembre 2027</w:t>
                  </w:r>
                </w:p>
              </w:tc>
            </w:tr>
            <w:tr>
              <w:tc>
                <w:tcPr>
                  <w:tcW w:type="dxa" w:w="2092"/>
                  <w:shd w:fill="e3e3e3"/>
                </w:tcPr>
                <w:p>
                  <w:r>
                    <w:t>Lead Department</w:t>
                  </w:r>
                </w:p>
              </w:tc>
              <w:tc>
                <w:tcPr>
                  <w:tcW w:type="dxa" w:w="7257"/>
                </w:tcPr>
                <w:p>
                  <w:r>
                    <w:t>jus</w:t>
                  </w:r>
                </w:p>
              </w:tc>
            </w:tr>
          </w:tbl>
          <w:p/>
        </w:tc>
      </w:tr>
      <w:tr>
        <w:tc>
          <w:tcPr>
            <w:tcW w:type="dxa" w:w="2092"/>
          </w:tcPr>
          <w:p>
            <w:r>
              <w:t>C04.5.4</w:t>
            </w:r>
          </w:p>
        </w:tc>
        <w:tc>
          <w:tcPr>
            <w:tcW w:type="dxa" w:w="3628"/>
          </w:tcPr>
          <w:p>
            <w:r>
              <w:t>Number of awareness raising activities (for example, webinars, talks at conferences).</w:t>
            </w:r>
          </w:p>
        </w:tc>
        <w:tc>
          <w:tcPr>
            <w:tcW w:type="dxa" w:w="3628"/>
          </w:tcPr>
          <w:p>
            <w:r>
              <w:t>Nombre d'activités de sensibilisation (par exemple, webinaires, présentations lors de conférences).</w:t>
            </w:r>
          </w:p>
        </w:tc>
      </w:tr>
      <w:tr>
        <w:tc>
          <w:tcPr>
            <w:tcW w:type="dxa" w:w="3628"/>
            <w:gridSpan w:val="3"/>
            <w:tcMar>
              <w:top w:w="0" w:type="dxa"/>
              <w:start w:w="0" w:type="dxa"/>
              <w:bottom w:w="0" w:type="dxa"/>
              <w:end w:w="0" w:type="dxa"/>
            </w:tcMar>
          </w:tcPr>
          <w:tbl>
            <w:tblPr>
              <w:tblW w:type="auto" w:w="0"/>
              <w:tblLook w:firstColumn="1" w:firstRow="1" w:lastColumn="0" w:lastRow="0" w:noHBand="0" w:noVBand="1" w:val="04A0"/>
            </w:tblPr>
            <w:tblGrid>
              <w:gridCol w:w="2092"/>
              <w:gridCol w:w="7257"/>
            </w:tblGrid>
            <w:tr>
              <w:tc>
                <w:tcPr>
                  <w:tcW w:type="dxa" w:w="2092"/>
                  <w:shd w:fill="e3e3e3"/>
                  <w:shd w:fill="ddd8e8"/>
                </w:tcPr>
                <w:p>
                  <w:r>
                    <w:t>Extras for: C04.5.4</w:t>
                  </w:r>
                </w:p>
              </w:tc>
              <w:tc>
                <w:tcPr>
                  <w:tcW w:type="dxa" w:w="7257"/>
                  <w:shd w:fill="ddd8e8"/>
                </w:tcPr>
                <w:p>
                  <w:r>
                    <w:t>Extra Value</w:t>
                  </w:r>
                </w:p>
              </w:tc>
            </w:tr>
            <w:tr>
              <w:tc>
                <w:tcPr>
                  <w:tcW w:type="dxa" w:w="2092"/>
                  <w:shd w:fill="e3e3e3"/>
                </w:tcPr>
                <w:p>
                  <w:r>
                    <w:t>Deadline (English)</w:t>
                  </w:r>
                </w:p>
              </w:tc>
              <w:tc>
                <w:tcPr>
                  <w:tcW w:type="dxa" w:w="7257"/>
                </w:tcPr>
                <w:p>
                  <w:r>
                    <w:t>Biannually until 2029</w:t>
                  </w:r>
                </w:p>
              </w:tc>
            </w:tr>
            <w:tr>
              <w:tc>
                <w:tcPr>
                  <w:tcW w:type="dxa" w:w="2092"/>
                  <w:shd w:fill="e3e3e3"/>
                </w:tcPr>
                <w:p>
                  <w:r>
                    <w:t>Deadline (French)</w:t>
                  </w:r>
                </w:p>
              </w:tc>
              <w:tc>
                <w:tcPr>
                  <w:tcW w:type="dxa" w:w="7257"/>
                </w:tcPr>
                <w:p>
                  <w:r>
                    <w:t>Deux fois par année jusqu'en 2029</w:t>
                  </w:r>
                </w:p>
              </w:tc>
            </w:tr>
            <w:tr>
              <w:tc>
                <w:tcPr>
                  <w:tcW w:type="dxa" w:w="2092"/>
                  <w:shd w:fill="e3e3e3"/>
                </w:tcPr>
                <w:p>
                  <w:r>
                    <w:t>Lead Department</w:t>
                  </w:r>
                </w:p>
              </w:tc>
              <w:tc>
                <w:tcPr>
                  <w:tcW w:type="dxa" w:w="7257"/>
                </w:tcPr>
                <w:p>
                  <w:r>
                    <w:t>jus</w:t>
                  </w:r>
                </w:p>
              </w:tc>
            </w:tr>
          </w:tbl>
          <w:p/>
        </w:tc>
      </w:tr>
    </w:tbl>
    <w:p>
      <w:r>
        <w:br/>
        <w:br/>
      </w:r>
    </w:p>
    <w:p>
      <w:pPr>
        <w:pStyle w:val="Heading2"/>
      </w:pPr>
      <w:r>
        <w:t>1-5 Status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Status</w:t>
            </w:r>
          </w:p>
        </w:tc>
      </w:tr>
      <w:tr>
        <w:tc>
          <w:tcPr>
            <w:tcW w:type="dxa" w:w="2659"/>
            <w:shd w:fill="c6d9f1"/>
          </w:tcPr>
          <w:p>
            <w:r>
              <w:t>Field Name FR</w:t>
            </w:r>
          </w:p>
        </w:tc>
        <w:tc>
          <w:tcPr>
            <w:tcW w:type="dxa" w:w="6690"/>
          </w:tcPr>
          <w:p>
            <w:r>
              <w:t>État</w:t>
            </w:r>
          </w:p>
        </w:tc>
      </w:tr>
      <w:tr>
        <w:tc>
          <w:tcPr>
            <w:tcW w:type="dxa" w:w="2659"/>
            <w:shd w:fill="c6d9f1"/>
          </w:tcPr>
          <w:p>
            <w:r>
              <w:t>ID</w:t>
            </w:r>
          </w:p>
        </w:tc>
        <w:tc>
          <w:tcPr>
            <w:tcW w:type="dxa" w:w="6690"/>
          </w:tcPr>
          <w:p>
            <w:r>
              <w:t>status</w:t>
            </w:r>
          </w:p>
        </w:tc>
      </w:tr>
      <w:tr>
        <w:tc>
          <w:tcPr>
            <w:tcW w:type="dxa" w:w="2659"/>
            <w:shd w:fill="c6d9f1"/>
          </w:tcPr>
          <w:p>
            <w:r>
              <w:t>Description EN</w:t>
            </w:r>
          </w:p>
        </w:tc>
        <w:tc>
          <w:tcPr>
            <w:tcW w:type="dxa" w:w="6690"/>
          </w:tcPr>
          <w:p>
            <w:r>
              <w:t>Indicate the current status of the commitment</w:t>
            </w:r>
          </w:p>
        </w:tc>
      </w:tr>
      <w:tr>
        <w:tc>
          <w:tcPr>
            <w:tcW w:type="dxa" w:w="2659"/>
            <w:shd w:fill="c6d9f1"/>
          </w:tcPr>
          <w:p>
            <w:r>
              <w:t>Description FR</w:t>
            </w:r>
          </w:p>
        </w:tc>
        <w:tc>
          <w:tcPr>
            <w:tcW w:type="dxa" w:w="6690"/>
          </w:tcPr>
          <w:p>
            <w:r>
              <w:t>Indiquer l'état actuel de l'engagement</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SP</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NS</w:t>
            </w:r>
          </w:p>
        </w:tc>
        <w:tc>
          <w:tcPr>
            <w:tcW w:type="dxa" w:w="3628"/>
          </w:tcPr>
          <w:p>
            <w:r>
              <w:t>Not started</w:t>
            </w:r>
          </w:p>
        </w:tc>
        <w:tc>
          <w:tcPr>
            <w:tcW w:type="dxa" w:w="3628"/>
          </w:tcPr>
          <w:p>
            <w:r>
              <w:t>Non commencé</w:t>
            </w:r>
          </w:p>
        </w:tc>
      </w:tr>
      <w:tr>
        <w:tc>
          <w:tcPr>
            <w:tcW w:type="dxa" w:w="2092"/>
          </w:tcPr>
          <w:p>
            <w:r>
              <w:t>LP</w:t>
            </w:r>
          </w:p>
        </w:tc>
        <w:tc>
          <w:tcPr>
            <w:tcW w:type="dxa" w:w="3628"/>
          </w:tcPr>
          <w:p>
            <w:r>
              <w:t>Limited progress</w:t>
            </w:r>
          </w:p>
        </w:tc>
        <w:tc>
          <w:tcPr>
            <w:tcW w:type="dxa" w:w="3628"/>
          </w:tcPr>
          <w:p>
            <w:r>
              <w:t>Progrès limité</w:t>
            </w:r>
          </w:p>
        </w:tc>
      </w:tr>
      <w:tr>
        <w:tc>
          <w:tcPr>
            <w:tcW w:type="dxa" w:w="2092"/>
          </w:tcPr>
          <w:p>
            <w:r>
              <w:t>SP</w:t>
            </w:r>
          </w:p>
        </w:tc>
        <w:tc>
          <w:tcPr>
            <w:tcW w:type="dxa" w:w="3628"/>
          </w:tcPr>
          <w:p>
            <w:r>
              <w:t>Substantial progress</w:t>
            </w:r>
          </w:p>
        </w:tc>
        <w:tc>
          <w:tcPr>
            <w:tcW w:type="dxa" w:w="3628"/>
          </w:tcPr>
          <w:p>
            <w:r>
              <w:t>Progrès important</w:t>
            </w:r>
          </w:p>
        </w:tc>
      </w:tr>
      <w:tr>
        <w:tc>
          <w:tcPr>
            <w:tcW w:type="dxa" w:w="2092"/>
          </w:tcPr>
          <w:p>
            <w:r>
              <w:t>C</w:t>
            </w:r>
          </w:p>
        </w:tc>
        <w:tc>
          <w:tcPr>
            <w:tcW w:type="dxa" w:w="3628"/>
          </w:tcPr>
          <w:p>
            <w:r>
              <w:t>Complete</w:t>
            </w:r>
          </w:p>
        </w:tc>
        <w:tc>
          <w:tcPr>
            <w:tcW w:type="dxa" w:w="3628"/>
          </w:tcPr>
          <w:p>
            <w:r>
              <w:t>Réalisé</w:t>
            </w:r>
          </w:p>
        </w:tc>
      </w:tr>
    </w:tbl>
    <w:p>
      <w:r>
        <w:br/>
        <w:br/>
      </w:r>
    </w:p>
    <w:p>
      <w:pPr>
        <w:pStyle w:val="Heading2"/>
      </w:pPr>
      <w:r>
        <w:t>1-6 Progress during reporting period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Progress during reporting period (English)</w:t>
            </w:r>
          </w:p>
        </w:tc>
      </w:tr>
      <w:tr>
        <w:tc>
          <w:tcPr>
            <w:tcW w:type="dxa" w:w="2659"/>
            <w:shd w:fill="c6d9f1"/>
          </w:tcPr>
          <w:p>
            <w:r>
              <w:t>Field Name FR</w:t>
            </w:r>
          </w:p>
        </w:tc>
        <w:tc>
          <w:tcPr>
            <w:tcW w:type="dxa" w:w="6690"/>
          </w:tcPr>
          <w:p>
            <w:r>
              <w:t>Progrès au cours du  période de déclaration (anglais)</w:t>
            </w:r>
          </w:p>
        </w:tc>
      </w:tr>
      <w:tr>
        <w:tc>
          <w:tcPr>
            <w:tcW w:type="dxa" w:w="2659"/>
            <w:shd w:fill="c6d9f1"/>
          </w:tcPr>
          <w:p>
            <w:r>
              <w:t>ID</w:t>
            </w:r>
          </w:p>
        </w:tc>
        <w:tc>
          <w:tcPr>
            <w:tcW w:type="dxa" w:w="6690"/>
          </w:tcPr>
          <w:p>
            <w:r>
              <w:t>progress_en</w:t>
            </w:r>
          </w:p>
        </w:tc>
      </w:tr>
      <w:tr>
        <w:tc>
          <w:tcPr>
            <w:tcW w:type="dxa" w:w="2659"/>
            <w:shd w:fill="c6d9f1"/>
          </w:tcPr>
          <w:p>
            <w:r>
              <w:t>Description EN</w:t>
            </w:r>
          </w:p>
        </w:tc>
        <w:tc>
          <w:tcPr>
            <w:tcW w:type="dxa" w:w="6690"/>
          </w:tcPr>
          <w:p>
            <w:r>
              <w:t>1-3 bullets outlining progress made during the most recent reportnig period. If no progress has been made, please write "NIL"</w:t>
            </w:r>
          </w:p>
        </w:tc>
      </w:tr>
      <w:tr>
        <w:tc>
          <w:tcPr>
            <w:tcW w:type="dxa" w:w="2659"/>
            <w:shd w:fill="c6d9f1"/>
          </w:tcPr>
          <w:p>
            <w:r>
              <w:t>Description FR</w:t>
            </w:r>
          </w:p>
        </w:tc>
        <w:tc>
          <w:tcPr>
            <w:tcW w:type="dxa" w:w="6690"/>
          </w:tcPr>
          <w:p>
            <w:r>
              <w:t>1-3 balles décrivant les progrès réalisés au cours dupériode de déclaration. Si aucun progrès n'a été réalisé, veuillez écrire "NIL"</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 Open government learning materials for teachers have been drafted</w:t>
              <w:br/>
              <w:t>- Initiating call for proposals to find contractor who can ensure materials are presented in a useful format for teachers and educators</w:t>
              <w:br/>
            </w:r>
          </w:p>
        </w:tc>
      </w:tr>
    </w:tbl>
    <w:p>
      <w:r>
        <w:br/>
        <w:br/>
      </w:r>
    </w:p>
    <w:p>
      <w:pPr>
        <w:pStyle w:val="Heading2"/>
      </w:pPr>
      <w:r>
        <w:t>1-7 Progress during reporting period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Progress during reporting period (French)</w:t>
            </w:r>
          </w:p>
        </w:tc>
      </w:tr>
      <w:tr>
        <w:tc>
          <w:tcPr>
            <w:tcW w:type="dxa" w:w="2659"/>
            <w:shd w:fill="c6d9f1"/>
          </w:tcPr>
          <w:p>
            <w:r>
              <w:t>Field Name FR</w:t>
            </w:r>
          </w:p>
        </w:tc>
        <w:tc>
          <w:tcPr>
            <w:tcW w:type="dxa" w:w="6690"/>
          </w:tcPr>
          <w:p>
            <w:r>
              <w:t>Progrès au cours du période de déclaration (français)</w:t>
            </w:r>
          </w:p>
        </w:tc>
      </w:tr>
      <w:tr>
        <w:tc>
          <w:tcPr>
            <w:tcW w:type="dxa" w:w="2659"/>
            <w:shd w:fill="c6d9f1"/>
          </w:tcPr>
          <w:p>
            <w:r>
              <w:t>ID</w:t>
            </w:r>
          </w:p>
        </w:tc>
        <w:tc>
          <w:tcPr>
            <w:tcW w:type="dxa" w:w="6690"/>
          </w:tcPr>
          <w:p>
            <w:r>
              <w:t>progress_fr</w:t>
            </w:r>
          </w:p>
        </w:tc>
      </w:tr>
      <w:tr>
        <w:tc>
          <w:tcPr>
            <w:tcW w:type="dxa" w:w="2659"/>
            <w:shd w:fill="c6d9f1"/>
          </w:tcPr>
          <w:p>
            <w:r>
              <w:t>Description EN</w:t>
            </w:r>
          </w:p>
        </w:tc>
        <w:tc>
          <w:tcPr>
            <w:tcW w:type="dxa" w:w="6690"/>
          </w:tcPr>
          <w:p>
            <w:r>
              <w:t>1-3 bullets outlining progress made during the most recent reporting period. If no progress has been made, please write "NUL"</w:t>
            </w:r>
          </w:p>
        </w:tc>
      </w:tr>
      <w:tr>
        <w:tc>
          <w:tcPr>
            <w:tcW w:type="dxa" w:w="2659"/>
            <w:shd w:fill="c6d9f1"/>
          </w:tcPr>
          <w:p>
            <w:r>
              <w:t>Description FR</w:t>
            </w:r>
          </w:p>
        </w:tc>
        <w:tc>
          <w:tcPr>
            <w:tcW w:type="dxa" w:w="6690"/>
          </w:tcPr>
          <w:p>
            <w:r>
              <w:t>1-3 balles décrivant les progrès réalisés au cours du dernier période de déclaration. Si aucun progrès n'a été réalisé, veuillez écrire "NUL"</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 Des matériels d'apprentissage sur le gouvernement ouvert pour les enseignants ont été rédigés</w:t>
              <w:br/>
              <w:t>- Lancer un appel à propositions pour trouver un contractant capable de garantir que le matériel est présenté dans un format utile pour les enseignants et les éducateurs.</w:t>
              <w:br/>
            </w:r>
          </w:p>
        </w:tc>
      </w:tr>
    </w:tbl>
    <w:p>
      <w:r>
        <w:br/>
        <w:br/>
      </w:r>
    </w:p>
    <w:p>
      <w:pPr>
        <w:pStyle w:val="Heading2"/>
      </w:pPr>
      <w:r>
        <w:t>1-8 Evidence of progress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Evidence of progress (English)</w:t>
            </w:r>
          </w:p>
        </w:tc>
      </w:tr>
      <w:tr>
        <w:tc>
          <w:tcPr>
            <w:tcW w:type="dxa" w:w="2659"/>
            <w:shd w:fill="c6d9f1"/>
          </w:tcPr>
          <w:p>
            <w:r>
              <w:t>Field Name FR</w:t>
            </w:r>
          </w:p>
        </w:tc>
        <w:tc>
          <w:tcPr>
            <w:tcW w:type="dxa" w:w="6690"/>
          </w:tcPr>
          <w:p>
            <w:r>
              <w:t>Preuve de progrès (anglais)</w:t>
            </w:r>
          </w:p>
        </w:tc>
      </w:tr>
      <w:tr>
        <w:tc>
          <w:tcPr>
            <w:tcW w:type="dxa" w:w="2659"/>
            <w:shd w:fill="c6d9f1"/>
          </w:tcPr>
          <w:p>
            <w:r>
              <w:t>ID</w:t>
            </w:r>
          </w:p>
        </w:tc>
        <w:tc>
          <w:tcPr>
            <w:tcW w:type="dxa" w:w="6690"/>
          </w:tcPr>
          <w:p>
            <w:r>
              <w:t>evidence_en</w:t>
            </w:r>
          </w:p>
        </w:tc>
      </w:tr>
      <w:tr>
        <w:tc>
          <w:tcPr>
            <w:tcW w:type="dxa" w:w="2659"/>
            <w:shd w:fill="c6d9f1"/>
          </w:tcPr>
          <w:p>
            <w:r>
              <w:t>Description EN</w:t>
            </w:r>
          </w:p>
        </w:tc>
        <w:tc>
          <w:tcPr>
            <w:tcW w:type="dxa" w:w="6690"/>
          </w:tcPr>
          <w:p>
            <w:r>
              <w:t>Any supporting evidence to demonstrate the progress you have made. This could include websites, links to documents, or other information.</w:t>
            </w:r>
          </w:p>
        </w:tc>
      </w:tr>
      <w:tr>
        <w:tc>
          <w:tcPr>
            <w:tcW w:type="dxa" w:w="2659"/>
            <w:shd w:fill="c6d9f1"/>
          </w:tcPr>
          <w:p>
            <w:r>
              <w:t>Description FR</w:t>
            </w:r>
          </w:p>
        </w:tc>
        <w:tc>
          <w:tcPr>
            <w:tcW w:type="dxa" w:w="6690"/>
          </w:tcPr>
          <w:p>
            <w:r>
              <w:t>Toute preuve à l'appui pour démontrer les progrès que vous avez accomplis. Cela peut inclure des sites Web, des liens vers des documents ou d'autres informations.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Materials are drafted and posted at [link]</w:t>
            </w:r>
          </w:p>
        </w:tc>
      </w:tr>
    </w:tbl>
    <w:p>
      <w:r>
        <w:br/>
        <w:br/>
      </w:r>
    </w:p>
    <w:p>
      <w:pPr>
        <w:pStyle w:val="Heading2"/>
      </w:pPr>
      <w:r>
        <w:t>1-9 Evidence of progress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Evidence of progress (French)</w:t>
            </w:r>
          </w:p>
        </w:tc>
      </w:tr>
      <w:tr>
        <w:tc>
          <w:tcPr>
            <w:tcW w:type="dxa" w:w="2659"/>
            <w:shd w:fill="c6d9f1"/>
          </w:tcPr>
          <w:p>
            <w:r>
              <w:t>Field Name FR</w:t>
            </w:r>
          </w:p>
        </w:tc>
        <w:tc>
          <w:tcPr>
            <w:tcW w:type="dxa" w:w="6690"/>
          </w:tcPr>
          <w:p>
            <w:r>
              <w:t>Preuve de progrès (français)</w:t>
            </w:r>
          </w:p>
        </w:tc>
      </w:tr>
      <w:tr>
        <w:tc>
          <w:tcPr>
            <w:tcW w:type="dxa" w:w="2659"/>
            <w:shd w:fill="c6d9f1"/>
          </w:tcPr>
          <w:p>
            <w:r>
              <w:t>ID</w:t>
            </w:r>
          </w:p>
        </w:tc>
        <w:tc>
          <w:tcPr>
            <w:tcW w:type="dxa" w:w="6690"/>
          </w:tcPr>
          <w:p>
            <w:r>
              <w:t>evidence_fr</w:t>
            </w:r>
          </w:p>
        </w:tc>
      </w:tr>
      <w:tr>
        <w:tc>
          <w:tcPr>
            <w:tcW w:type="dxa" w:w="2659"/>
            <w:shd w:fill="c6d9f1"/>
          </w:tcPr>
          <w:p>
            <w:r>
              <w:t>Description EN</w:t>
            </w:r>
          </w:p>
        </w:tc>
        <w:tc>
          <w:tcPr>
            <w:tcW w:type="dxa" w:w="6690"/>
          </w:tcPr>
          <w:p>
            <w:r>
              <w:t>Any supporting evidence to demonstrate the progress you have made. This could include websites, links to documents, or other information.</w:t>
            </w:r>
          </w:p>
        </w:tc>
      </w:tr>
      <w:tr>
        <w:tc>
          <w:tcPr>
            <w:tcW w:type="dxa" w:w="2659"/>
            <w:shd w:fill="c6d9f1"/>
          </w:tcPr>
          <w:p>
            <w:r>
              <w:t>Description FR</w:t>
            </w:r>
          </w:p>
        </w:tc>
        <w:tc>
          <w:tcPr>
            <w:tcW w:type="dxa" w:w="6690"/>
          </w:tcPr>
          <w:p>
            <w:r>
              <w:t>Toute preuve à l'appui pour démontrer les progrès que vous avez accomplis. Cela peut inclure des sites Web, des liens vers des documents ou d'autres informations.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Les documents sont rédigés et publiés sur [link]</w:t>
            </w:r>
          </w:p>
        </w:tc>
      </w:tr>
    </w:tbl>
    <w:p>
      <w:r>
        <w:br/>
        <w:br/>
      </w:r>
    </w:p>
    <w:p>
      <w:pPr>
        <w:pStyle w:val="Heading2"/>
      </w:pPr>
      <w:r>
        <w:t>1-10 Challenges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Challenges (English)</w:t>
            </w:r>
          </w:p>
        </w:tc>
      </w:tr>
      <w:tr>
        <w:tc>
          <w:tcPr>
            <w:tcW w:type="dxa" w:w="2659"/>
            <w:shd w:fill="c6d9f1"/>
          </w:tcPr>
          <w:p>
            <w:r>
              <w:t>Field Name FR</w:t>
            </w:r>
          </w:p>
        </w:tc>
        <w:tc>
          <w:tcPr>
            <w:tcW w:type="dxa" w:w="6690"/>
          </w:tcPr>
          <w:p>
            <w:r>
              <w:t>Défis (anglais)</w:t>
            </w:r>
          </w:p>
        </w:tc>
      </w:tr>
      <w:tr>
        <w:tc>
          <w:tcPr>
            <w:tcW w:type="dxa" w:w="2659"/>
            <w:shd w:fill="c6d9f1"/>
          </w:tcPr>
          <w:p>
            <w:r>
              <w:t>ID</w:t>
            </w:r>
          </w:p>
        </w:tc>
        <w:tc>
          <w:tcPr>
            <w:tcW w:type="dxa" w:w="6690"/>
          </w:tcPr>
          <w:p>
            <w:r>
              <w:t>challenges_en</w:t>
            </w:r>
          </w:p>
        </w:tc>
      </w:tr>
      <w:tr>
        <w:tc>
          <w:tcPr>
            <w:tcW w:type="dxa" w:w="2659"/>
            <w:shd w:fill="c6d9f1"/>
          </w:tcPr>
          <w:p>
            <w:r>
              <w:t>Description EN</w:t>
            </w:r>
          </w:p>
        </w:tc>
        <w:tc>
          <w:tcPr>
            <w:tcW w:type="dxa" w:w="6690"/>
          </w:tcPr>
          <w:p>
            <w:r>
              <w:t>Describe any challenges faced, in English</w:t>
            </w:r>
          </w:p>
        </w:tc>
      </w:tr>
      <w:tr>
        <w:tc>
          <w:tcPr>
            <w:tcW w:type="dxa" w:w="2659"/>
            <w:shd w:fill="c6d9f1"/>
          </w:tcPr>
          <w:p>
            <w:r>
              <w:t>Description FR</w:t>
            </w:r>
          </w:p>
        </w:tc>
        <w:tc>
          <w:tcPr>
            <w:tcW w:type="dxa" w:w="6690"/>
          </w:tcPr>
          <w:p>
            <w:r>
              <w:t>Décrivez les défis rencontrés en anglais</w:t>
            </w:r>
          </w:p>
        </w:tc>
      </w:tr>
      <w:tr>
        <w:tc>
          <w:tcPr>
            <w:tcW w:type="dxa" w:w="2659"/>
            <w:shd w:fill="c6d9f1"/>
          </w:tcPr>
          <w:p>
            <w:r>
              <w:t>Obligation EN</w:t>
            </w:r>
          </w:p>
        </w:tc>
        <w:tc>
          <w:tcPr>
            <w:tcW w:type="dxa" w:w="6690"/>
          </w:tcPr>
          <w:p>
            <w:r>
              <w:t>Mandatory, conditional</w:t>
            </w:r>
          </w:p>
        </w:tc>
      </w:tr>
      <w:tr>
        <w:tc>
          <w:tcPr>
            <w:tcW w:type="dxa" w:w="2659"/>
            <w:shd w:fill="c6d9f1"/>
          </w:tcPr>
          <w:p>
            <w:r>
              <w:t>Obligation FR</w:t>
            </w:r>
          </w:p>
        </w:tc>
        <w:tc>
          <w:tcPr>
            <w:tcW w:type="dxa" w:w="6690"/>
          </w:tcPr>
          <w:p>
            <w:r>
              <w:t>Obligatoire, conditionnel</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"Status" is "Limited progress" or "Not started"</w:t>
            </w:r>
          </w:p>
        </w:tc>
      </w:tr>
      <w:tr>
        <w:tc>
          <w:tcPr>
            <w:tcW w:type="dxa" w:w="2659"/>
            <w:shd w:fill="c6d9f1"/>
          </w:tcPr>
          <w:p>
            <w:r>
              <w:t>Validation FR</w:t>
            </w:r>
          </w:p>
        </w:tc>
        <w:tc>
          <w:tcPr>
            <w:tcW w:type="dxa" w:w="6690"/>
          </w:tcPr>
          <w:p>
            <w:r>
              <w:t>Obligatoire si « État » est « Progrès limité » ou « Pas commencé ».</w:t>
            </w:r>
          </w:p>
        </w:tc>
      </w:tr>
      <w:tr>
        <w:tc>
          <w:tcPr>
            <w:tcW w:type="dxa" w:w="2659"/>
            <w:shd w:fill="c6d9f1"/>
          </w:tcPr>
          <w:p>
            <w:r>
              <w:t>Example Value</w:t>
            </w:r>
          </w:p>
        </w:tc>
        <w:tc>
          <w:tcPr>
            <w:tcW w:type="dxa" w:w="6690"/>
          </w:tcPr>
          <w:p>
            <w:r>
              <w:t>- Change of funding</w:t>
              <w:br/>
              <w:t>- Lack of resources</w:t>
              <w:br/>
            </w:r>
          </w:p>
        </w:tc>
      </w:tr>
    </w:tbl>
    <w:p>
      <w:r>
        <w:br/>
        <w:br/>
      </w:r>
    </w:p>
    <w:p>
      <w:pPr>
        <w:pStyle w:val="Heading2"/>
      </w:pPr>
      <w:r>
        <w:t>1-11 Challenges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Challenges (French)</w:t>
            </w:r>
          </w:p>
        </w:tc>
      </w:tr>
      <w:tr>
        <w:tc>
          <w:tcPr>
            <w:tcW w:type="dxa" w:w="2659"/>
            <w:shd w:fill="c6d9f1"/>
          </w:tcPr>
          <w:p>
            <w:r>
              <w:t>Field Name FR</w:t>
            </w:r>
          </w:p>
        </w:tc>
        <w:tc>
          <w:tcPr>
            <w:tcW w:type="dxa" w:w="6690"/>
          </w:tcPr>
          <w:p>
            <w:r>
              <w:t>Défis (français)</w:t>
            </w:r>
          </w:p>
        </w:tc>
      </w:tr>
      <w:tr>
        <w:tc>
          <w:tcPr>
            <w:tcW w:type="dxa" w:w="2659"/>
            <w:shd w:fill="c6d9f1"/>
          </w:tcPr>
          <w:p>
            <w:r>
              <w:t>ID</w:t>
            </w:r>
          </w:p>
        </w:tc>
        <w:tc>
          <w:tcPr>
            <w:tcW w:type="dxa" w:w="6690"/>
          </w:tcPr>
          <w:p>
            <w:r>
              <w:t>challenges_fr</w:t>
            </w:r>
          </w:p>
        </w:tc>
      </w:tr>
      <w:tr>
        <w:tc>
          <w:tcPr>
            <w:tcW w:type="dxa" w:w="2659"/>
            <w:shd w:fill="c6d9f1"/>
          </w:tcPr>
          <w:p>
            <w:r>
              <w:t>Description EN</w:t>
            </w:r>
          </w:p>
        </w:tc>
        <w:tc>
          <w:tcPr>
            <w:tcW w:type="dxa" w:w="6690"/>
          </w:tcPr>
          <w:p>
            <w:r>
              <w:t>Describe any challenges faced, in French</w:t>
            </w:r>
          </w:p>
        </w:tc>
      </w:tr>
      <w:tr>
        <w:tc>
          <w:tcPr>
            <w:tcW w:type="dxa" w:w="2659"/>
            <w:shd w:fill="c6d9f1"/>
          </w:tcPr>
          <w:p>
            <w:r>
              <w:t>Description FR</w:t>
            </w:r>
          </w:p>
        </w:tc>
        <w:tc>
          <w:tcPr>
            <w:tcW w:type="dxa" w:w="6690"/>
          </w:tcPr>
          <w:p>
            <w:r>
              <w:t>Décrivez les défis rencontrés en français</w:t>
            </w:r>
          </w:p>
        </w:tc>
      </w:tr>
      <w:tr>
        <w:tc>
          <w:tcPr>
            <w:tcW w:type="dxa" w:w="2659"/>
            <w:shd w:fill="c6d9f1"/>
          </w:tcPr>
          <w:p>
            <w:r>
              <w:t>Obligation EN</w:t>
            </w:r>
          </w:p>
        </w:tc>
        <w:tc>
          <w:tcPr>
            <w:tcW w:type="dxa" w:w="6690"/>
          </w:tcPr>
          <w:p>
            <w:r>
              <w:t>Mandatory, conditional</w:t>
            </w:r>
          </w:p>
        </w:tc>
      </w:tr>
      <w:tr>
        <w:tc>
          <w:tcPr>
            <w:tcW w:type="dxa" w:w="2659"/>
            <w:shd w:fill="c6d9f1"/>
          </w:tcPr>
          <w:p>
            <w:r>
              <w:t>Obligation FR</w:t>
            </w:r>
          </w:p>
        </w:tc>
        <w:tc>
          <w:tcPr>
            <w:tcW w:type="dxa" w:w="6690"/>
          </w:tcPr>
          <w:p>
            <w:r>
              <w:t>Obligatoire, conditionnel</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"Status" is "Limited progress" or "Not started"</w:t>
            </w:r>
          </w:p>
        </w:tc>
      </w:tr>
      <w:tr>
        <w:tc>
          <w:tcPr>
            <w:tcW w:type="dxa" w:w="2659"/>
            <w:shd w:fill="c6d9f1"/>
          </w:tcPr>
          <w:p>
            <w:r>
              <w:t>Validation FR</w:t>
            </w:r>
          </w:p>
        </w:tc>
        <w:tc>
          <w:tcPr>
            <w:tcW w:type="dxa" w:w="6690"/>
          </w:tcPr>
          <w:p>
            <w:r>
              <w:t>Obligatoire si « État » est « Progrès limité » ou « Pas commencé ».</w:t>
            </w:r>
          </w:p>
        </w:tc>
      </w:tr>
      <w:tr>
        <w:tc>
          <w:tcPr>
            <w:tcW w:type="dxa" w:w="2659"/>
            <w:shd w:fill="c6d9f1"/>
          </w:tcPr>
          <w:p>
            <w:r>
              <w:t>Example Value</w:t>
            </w:r>
          </w:p>
        </w:tc>
        <w:tc>
          <w:tcPr>
            <w:tcW w:type="dxa" w:w="6690"/>
          </w:tcPr>
          <w:p>
            <w:r>
              <w:t>- Changement de financement</w:t>
              <w:br/>
              <w:t>- Manque de ressources</w:t>
              <w:br/>
            </w:r>
          </w:p>
        </w:tc>
      </w:tr>
    </w:tbl>
    <w:p>
      <w:r>
        <w:br/>
        <w:br/>
      </w:r>
    </w:p>
    <w:p>
      <w:r>
        <w:br w:type="page"/>
      </w:r>
    </w:p>
    <w:sectPr w:rsidR="00226F02" w:rsidRPr="00226F02" w:rsidSect="00591CBD">
      <w:headerReference w:type="even" r:id="rId15"/>
      <w:headerReference w:type="default" r:id="rId16"/>
      <w:footerReference w:type="even" r:id="rId17"/>
      <w:footerReference w:type="default" r:id="rId18"/>
      <w:headerReference w:type="first" r:id="rId19"/>
      <w:footerReference w:type="first" r:id="rId20"/>
      <w:pgSz w:w="12240" w:h="15840" w:code="1"/>
      <w:pgMar w:top="1890" w:right="45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7FA" w:rsidRDefault="000217FA" w:rsidP="00405FDA">
      <w:pPr>
        <w:spacing w:after="0" w:line="240" w:lineRule="auto"/>
      </w:pPr>
      <w:r>
        <w:separator/>
      </w:r>
    </w:p>
  </w:endnote>
  <w:endnote w:type="continuationSeparator" w:id="0">
    <w:p w:rsidR="000217FA" w:rsidRDefault="000217FA" w:rsidP="0040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7FA" w:rsidRDefault="000217FA" w:rsidP="00405FDA">
      <w:pPr>
        <w:spacing w:after="0" w:line="240" w:lineRule="auto"/>
      </w:pPr>
      <w:r>
        <w:separator/>
      </w:r>
    </w:p>
  </w:footnote>
  <w:footnote w:type="continuationSeparator" w:id="0">
    <w:p w:rsidR="000217FA" w:rsidRDefault="000217FA" w:rsidP="00405F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0" w:name="TITUS1HeaderEvenPages"/>
  </w:p>
  <w:bookmarkEnd w:id="0"/>
  <w:p w:rsidR="001A1620" w:rsidRPr="00405FDA" w:rsidRDefault="001A1620">
    <w:pPr>
      <w:pStyle w:val="Header"/>
      <w:rPr>
        <w:lang w:val="fr-C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rPr>
        <w:lang w:val="fr-CA"/>
      </w:rPr>
    </w:pPr>
    <w:r>
      <w:t>Data Element Profile : 6th National Action Plan on Open Government Tracker</w:t>
    </w:r>
  </w:p>
  <w:bookmarkEnd w:id="1"/>
  <w:p w:rsidR="001A1620" w:rsidRPr="00405FDA" w:rsidRDefault="001A1620">
    <w:pPr>
      <w:pStyle w:val="Header"/>
      <w:rPr>
        <w:lang w:val="fr-C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pPr>
    <w:r/>
  </w:p>
  <w:bookmarkEnd w:id="2"/>
  <w:p w:rsidR="00405FDA" w:rsidRDefault="00405FDA">
    <w:pPr>
      <w:pStyle w:val="Header"/>
    </w:pPr>
    <w:r>
      <w:rPr>
        <w:noProof/>
        <w:lang w:eastAsia="en-CA"/>
      </w:rPr>
      <w:drawing>
        <wp:anchor distT="0" distB="0" distL="114300" distR="114300" simplePos="0" relativeHeight="251658240" behindDoc="1" locked="0" layoutInCell="1" allowOverlap="1" wp14:anchorId="43297E3A" wp14:editId="29DC55EE">
          <wp:simplePos x="0" y="0"/>
          <wp:positionH relativeFrom="column">
            <wp:posOffset>-624205</wp:posOffset>
          </wp:positionH>
          <wp:positionV relativeFrom="paragraph">
            <wp:posOffset>220980</wp:posOffset>
          </wp:positionV>
          <wp:extent cx="7191375" cy="9664065"/>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OVER-ENG2.jpg"/>
                  <pic:cNvPicPr/>
                </pic:nvPicPr>
                <pic:blipFill>
                  <a:blip r:embed="rId1">
                    <a:extLst>
                      <a:ext uri="{28A0092B-C50C-407E-A947-70E740481C1C}">
                        <a14:useLocalDpi xmlns:a14="http://schemas.microsoft.com/office/drawing/2010/main" val="0"/>
                      </a:ext>
                    </a:extLst>
                  </a:blip>
                  <a:stretch>
                    <a:fillRect/>
                  </a:stretch>
                </pic:blipFill>
                <pic:spPr>
                  <a:xfrm>
                    <a:off x="0" y="0"/>
                    <a:ext cx="7191375" cy="966406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4" w:name="TITUS2HeaderEvenPages"/>
  </w:p>
  <w:bookmarkEnd w:id="4"/>
  <w:p w:rsidR="001A1620" w:rsidRPr="00405FDA" w:rsidRDefault="001A1620">
    <w:pPr>
      <w:pStyle w:val="Header"/>
      <w:rPr>
        <w:lang w:val="fr-C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5" w:name="TITUS2HeaderPrimary"/>
  </w:p>
  <w:bookmarkEnd w:id="5"/>
  <w:p w:rsidR="001A1620" w:rsidRPr="00405FDA" w:rsidRDefault="001A1620">
    <w:pPr>
      <w:pStyle w:val="Header"/>
      <w:rPr>
        <w:lang w:val="fr-C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jc w:val="right"/>
      <w:rPr>
        <w:rFonts w:ascii="Arial" w:hAnsi="Arial" w:cs="Arial"/>
        <w:color w:val="000000"/>
        <w:sz w:val="17"/>
        <w:lang w:val="fr-CA"/>
      </w:rPr>
    </w:pPr>
    <w:bookmarkStart w:id="6" w:name="TITUS2HeaderFirstPage"/>
  </w:p>
  <w:bookmarkEnd w:id="6"/>
  <w:p w:rsidR="001A1620" w:rsidRPr="00570404" w:rsidRDefault="001A1620" w:rsidP="00570404">
    <w:pPr>
      <w:pStyle w:val="Header"/>
      <w:jc w:val="right"/>
      <w:rPr>
        <w:rFonts w:ascii="Arial" w:hAnsi="Arial" w:cs="Arial"/>
        <w:color w:val="000000"/>
        <w:sz w:val="17"/>
        <w:lang w:val="fr-C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71D01974"/>
    <w:multiLevelType w:val="hybridMultilevel"/>
    <w:tmpl w:val="5E601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5"/>
  </w:num>
  <w:num w:numId="4">
    <w:abstractNumId w:val="3"/>
  </w:num>
  <w:num w:numId="5">
    <w:abstractNumId w:val="3"/>
  </w:num>
  <w:num w:numId="6">
    <w:abstractNumId w:val="2"/>
  </w:num>
  <w:num w:numId="7">
    <w:abstractNumId w:val="2"/>
  </w:num>
  <w:num w:numId="8">
    <w:abstractNumId w:val="4"/>
  </w:num>
  <w:num w:numId="9">
    <w:abstractNumId w:val="4"/>
  </w:num>
  <w:num w:numId="10">
    <w:abstractNumId w:val="1"/>
  </w:num>
  <w:num w:numId="11">
    <w:abstractNumId w:val="1"/>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FDA"/>
    <w:rsid w:val="000217FA"/>
    <w:rsid w:val="00062D3A"/>
    <w:rsid w:val="000913B3"/>
    <w:rsid w:val="000B1EE7"/>
    <w:rsid w:val="000B5248"/>
    <w:rsid w:val="000F0698"/>
    <w:rsid w:val="00124032"/>
    <w:rsid w:val="00152867"/>
    <w:rsid w:val="001A1620"/>
    <w:rsid w:val="002004B9"/>
    <w:rsid w:val="00226F02"/>
    <w:rsid w:val="002B300A"/>
    <w:rsid w:val="002F306A"/>
    <w:rsid w:val="003F7E4C"/>
    <w:rsid w:val="00405FDA"/>
    <w:rsid w:val="00570404"/>
    <w:rsid w:val="00591CBD"/>
    <w:rsid w:val="005D2401"/>
    <w:rsid w:val="006276DD"/>
    <w:rsid w:val="006800A1"/>
    <w:rsid w:val="006D5AB4"/>
    <w:rsid w:val="00746CC4"/>
    <w:rsid w:val="00806D06"/>
    <w:rsid w:val="00A450D1"/>
    <w:rsid w:val="00B946BC"/>
    <w:rsid w:val="00BD0E51"/>
    <w:rsid w:val="00CD5013"/>
    <w:rsid w:val="00D32649"/>
    <w:rsid w:val="00E77873"/>
    <w:rsid w:val="00E95091"/>
    <w:rsid w:val="00EA7754"/>
    <w:rsid w:val="00F674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5F9105D6-5B9C-4761-9FA9-49745422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6F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6F0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A162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A16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FDA"/>
  </w:style>
  <w:style w:type="paragraph" w:styleId="Footer">
    <w:name w:val="footer"/>
    <w:basedOn w:val="Normal"/>
    <w:link w:val="FooterChar"/>
    <w:uiPriority w:val="99"/>
    <w:unhideWhenUsed/>
    <w:rsid w:val="00405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FDA"/>
  </w:style>
  <w:style w:type="paragraph" w:styleId="BalloonText">
    <w:name w:val="Balloon Text"/>
    <w:basedOn w:val="Normal"/>
    <w:link w:val="BalloonTextChar"/>
    <w:uiPriority w:val="99"/>
    <w:semiHidden/>
    <w:unhideWhenUsed/>
    <w:rsid w:val="00405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FDA"/>
    <w:rPr>
      <w:rFonts w:ascii="Tahoma" w:hAnsi="Tahoma" w:cs="Tahoma"/>
      <w:sz w:val="16"/>
      <w:szCs w:val="16"/>
    </w:rPr>
  </w:style>
  <w:style w:type="character" w:customStyle="1" w:styleId="Heading1Char">
    <w:name w:val="Heading 1 Char"/>
    <w:basedOn w:val="DefaultParagraphFont"/>
    <w:link w:val="Heading1"/>
    <w:uiPriority w:val="9"/>
    <w:rsid w:val="00226F0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6F0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D5AB4"/>
    <w:pPr>
      <w:ind w:left="720"/>
      <w:contextualSpacing/>
    </w:pPr>
  </w:style>
  <w:style w:type="character" w:customStyle="1" w:styleId="Heading3Char">
    <w:name w:val="Heading 3 Char"/>
    <w:basedOn w:val="DefaultParagraphFont"/>
    <w:link w:val="Heading3"/>
    <w:uiPriority w:val="9"/>
    <w:rsid w:val="001A1620"/>
    <w:rPr>
      <w:rFonts w:asciiTheme="majorHAnsi" w:eastAsiaTheme="majorEastAsia" w:hAnsiTheme="majorHAnsi" w:cstheme="majorBidi"/>
      <w:color w:val="243F60" w:themeColor="accent1" w:themeShade="7F"/>
      <w:sz w:val="24"/>
      <w:szCs w:val="24"/>
    </w:rPr>
  </w:style>
  <w:style w:type="paragraph" w:styleId="ListBullet">
    <w:name w:val="List Bullet"/>
    <w:basedOn w:val="Normal"/>
    <w:uiPriority w:val="99"/>
    <w:unhideWhenUsed/>
    <w:rsid w:val="001A1620"/>
    <w:pPr>
      <w:numPr>
        <w:numId w:val="3"/>
      </w:numPr>
      <w:contextualSpacing/>
    </w:pPr>
    <w:rPr>
      <w:rFonts w:eastAsiaTheme="minorEastAsia"/>
      <w:lang w:val="en-US"/>
    </w:rPr>
  </w:style>
  <w:style w:type="paragraph" w:styleId="ListBullet2">
    <w:name w:val="List Bullet 2"/>
    <w:basedOn w:val="Normal"/>
    <w:uiPriority w:val="99"/>
    <w:unhideWhenUsed/>
    <w:rsid w:val="001A1620"/>
    <w:pPr>
      <w:numPr>
        <w:numId w:val="5"/>
      </w:numPr>
      <w:contextualSpacing/>
    </w:pPr>
    <w:rPr>
      <w:rFonts w:eastAsiaTheme="minorEastAsia"/>
      <w:lang w:val="en-US"/>
    </w:rPr>
  </w:style>
  <w:style w:type="paragraph" w:styleId="ListBullet3">
    <w:name w:val="List Bullet 3"/>
    <w:basedOn w:val="Normal"/>
    <w:uiPriority w:val="99"/>
    <w:unhideWhenUsed/>
    <w:rsid w:val="001A1620"/>
    <w:pPr>
      <w:numPr>
        <w:numId w:val="7"/>
      </w:numPr>
      <w:contextualSpacing/>
    </w:pPr>
    <w:rPr>
      <w:rFonts w:eastAsiaTheme="minorEastAsia"/>
      <w:lang w:val="en-US"/>
    </w:rPr>
  </w:style>
  <w:style w:type="paragraph" w:styleId="ListNumber">
    <w:name w:val="List Number"/>
    <w:basedOn w:val="Normal"/>
    <w:uiPriority w:val="99"/>
    <w:unhideWhenUsed/>
    <w:rsid w:val="001A1620"/>
    <w:pPr>
      <w:numPr>
        <w:numId w:val="9"/>
      </w:numPr>
      <w:contextualSpacing/>
    </w:pPr>
    <w:rPr>
      <w:rFonts w:eastAsiaTheme="minorEastAsia"/>
      <w:lang w:val="en-US"/>
    </w:rPr>
  </w:style>
  <w:style w:type="paragraph" w:styleId="ListNumber2">
    <w:name w:val="List Number 2"/>
    <w:basedOn w:val="Normal"/>
    <w:uiPriority w:val="99"/>
    <w:unhideWhenUsed/>
    <w:rsid w:val="001A1620"/>
    <w:pPr>
      <w:numPr>
        <w:numId w:val="11"/>
      </w:numPr>
      <w:contextualSpacing/>
    </w:pPr>
    <w:rPr>
      <w:rFonts w:eastAsiaTheme="minorEastAsia"/>
      <w:lang w:val="en-US"/>
    </w:rPr>
  </w:style>
  <w:style w:type="paragraph" w:styleId="ListNumber3">
    <w:name w:val="List Number 3"/>
    <w:basedOn w:val="Normal"/>
    <w:uiPriority w:val="99"/>
    <w:unhideWhenUsed/>
    <w:rsid w:val="001A1620"/>
    <w:pPr>
      <w:numPr>
        <w:numId w:val="13"/>
      </w:numPr>
      <w:contextualSpacing/>
    </w:pPr>
    <w:rPr>
      <w:rFonts w:eastAsiaTheme="minorEastAsia"/>
      <w:lang w:val="en-US"/>
    </w:rPr>
  </w:style>
  <w:style w:type="paragraph" w:styleId="Quote">
    <w:name w:val="Quote"/>
    <w:basedOn w:val="Normal"/>
    <w:next w:val="Normal"/>
    <w:link w:val="QuoteChar"/>
    <w:uiPriority w:val="29"/>
    <w:qFormat/>
    <w:rsid w:val="001A1620"/>
    <w:rPr>
      <w:rFonts w:eastAsiaTheme="minorEastAsia"/>
      <w:i/>
      <w:iCs/>
      <w:color w:val="000000" w:themeColor="text1"/>
      <w:lang w:val="en-US"/>
    </w:rPr>
  </w:style>
  <w:style w:type="character" w:customStyle="1" w:styleId="QuoteChar">
    <w:name w:val="Quote Char"/>
    <w:basedOn w:val="DefaultParagraphFont"/>
    <w:link w:val="Quote"/>
    <w:uiPriority w:val="29"/>
    <w:rsid w:val="001A1620"/>
    <w:rPr>
      <w:rFonts w:eastAsiaTheme="minorEastAsia"/>
      <w:i/>
      <w:iCs/>
      <w:color w:val="000000" w:themeColor="text1"/>
      <w:lang w:val="en-US"/>
    </w:rPr>
  </w:style>
  <w:style w:type="character" w:customStyle="1" w:styleId="Heading4Char">
    <w:name w:val="Heading 4 Char"/>
    <w:basedOn w:val="DefaultParagraphFont"/>
    <w:link w:val="Heading4"/>
    <w:uiPriority w:val="9"/>
    <w:rsid w:val="001A1620"/>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528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example.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3C324-2148-432D-B24B-37CF5C18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22</Words>
  <Characters>84</Characters>
  <Application>Microsoft Office Word</Application>
  <DocSecurity>0</DocSecurity>
  <Lines>15</Lines>
  <Paragraphs>12</Paragraphs>
  <ScaleCrop>false</ScaleCrop>
  <HeadingPairs>
    <vt:vector size="2" baseType="variant">
      <vt:variant>
        <vt:lpstr>Title</vt:lpstr>
      </vt:variant>
      <vt:variant>
        <vt:i4>1</vt:i4>
      </vt:variant>
    </vt:vector>
  </HeadingPairs>
  <TitlesOfParts>
    <vt:vector size="1" baseType="lpstr">
      <vt:lpstr/>
    </vt:vector>
  </TitlesOfParts>
  <Company>TBS-SCT</Company>
  <LinksUpToDate>false</LinksUpToDate>
  <CharactersWithSpaces>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Perrier, Matthew C.</dc:creator>
  <cp:lastModifiedBy>Ward, Ian</cp:lastModifiedBy>
  <cp:revision>7</cp:revision>
  <dcterms:created xsi:type="dcterms:W3CDTF">2019-12-06T20:22:00Z</dcterms:created>
  <dcterms:modified xsi:type="dcterms:W3CDTF">2019-12-10T17:35:00Z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81c3550e-4345-4aa6-b6c5-bcd08236c21a</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ies>
</file>