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Mustervertrag: Virtueller Zusammenschluss zum Eigenverbrauch (vZEV)</w:t>
      </w:r>
    </w:p>
    <w:p>
      <w:pPr>
        <w:spacing w:after="120"/>
      </w:pPr>
      <w:r>
        <w:rPr>
          <w:b/>
          <w:bCs/>
        </w:rPr>
        <w:t xml:space="preserve">Gesellschaftsvertrag unter Grundeigentümerinnen und Grundeigentümern · Zusatz zum Mietvertrag · Abrechnungsmodell mit Berechnungsbeispiel · Stammdatenblatt · Beitrittserklärung und Meldung an den Netzbetreiber</w:t>
      </w:r>
    </w:p>
    <w:p>
      <w:pPr>
        <w:spacing w:after="120"/>
      </w:pPr>
      <w:r>
        <w:t xml:space="preserve">Für Nachbarschaften und Areale mit mehreren Grundeigentümerinnen und Grundeigentümern – Einfamilienhäuser, Stockwerkeigentum, Mehrfamilienhäuser oder Gewerbebauten –, die den Strom aus einer oder mehreren Anlagen über die Anschlussleitungen und den gemeinsamen Netzanschlusspunkt gemeinsam nutzen. Organisiert als einfache Gesellschaft nach Art. 530 ff. OR, mit Zusatz für Mietverhältnisse.</w:t>
      </w:r>
    </w:p>
    <w:p>
      <w:pPr>
        <w:spacing w:after="120"/>
      </w:pPr>
      <w:r>
        <w:t xml:space="preserve">Entwurf Version 0.9 zur Diskussion · Stand 23. Oktober 2026 · Schweiz · Lizenz CC BY 4.0 («Open Energy Archive, CC BY 4.0»)</w:t>
      </w:r>
    </w:p>
    <w:p>
      <w:pPr>
        <w:pBdr>
          <w:left w:val="single" w:color="0F5C4A" w:sz="18" w:space="6"/>
        </w:pBdr>
        <w:shd w:fill="EEF3F1" w:color="auto" w:val="clear"/>
        <w:spacing w:after="120" w:before="60"/>
        <w:ind w:left="120" w:right="120"/>
      </w:pPr>
      <w:r>
        <w:rPr>
          <w:b/>
          <w:bCs/>
          <w:color w:val="44546A"/>
          <w:sz w:val="19"/>
          <w:szCs w:val="19"/>
        </w:rPr>
        <w:t xml:space="preserve">Entwurf zur Diskussion – nicht fachlich geprüft.</w:t>
      </w:r>
      <w:r>
        <w:rPr>
          <w:color w:val="44546A"/>
          <w:sz w:val="19"/>
          <w:szCs w:val="19"/>
        </w:rPr>
        <w:t xml:space="preserve"> Dieses Muster wurde noch nicht von einer Fachperson für Energierecht geprüft. Es ist als Entwurf veröffentlicht, um Rückmeldungen aus der Praxis einzuholen – von Solarfirmen, Netzbetreibern, Abrechnungsdienstleistern, Verwaltungen, Stockwerkeigentümergemeinschaften und Fachleuten. Hinweise bitte über GitHub Issues oder über bwlaw.ch. Offene Fragen sind am Schluss aufgeführt.</w:t>
      </w:r>
    </w:p>
    <w:p>
      <w:pPr>
        <w:pBdr>
          <w:left w:val="single" w:color="0F5C4A" w:sz="18" w:space="6"/>
        </w:pBdr>
        <w:shd w:fill="EEF3F1" w:color="auto" w:val="clear"/>
        <w:spacing w:after="120" w:before="60"/>
        <w:ind w:left="120" w:right="120"/>
      </w:pPr>
      <w:r>
        <w:rPr>
          <w:b/>
          <w:bCs/>
          <w:color w:val="44546A"/>
          <w:sz w:val="19"/>
          <w:szCs w:val="19"/>
        </w:rPr>
        <w:t xml:space="preserve">Keine Rechtsberatung.</w:t>
      </w:r>
      <w:r>
        <w:rPr>
          <w:color w:val="44546A"/>
          <w:sz w:val="19"/>
          <w:szCs w:val="19"/>
        </w:rPr>
        <w:t xml:space="preserve"> Dieses Muster ist ein Ausgangspunkt, kein fertiger Vertrag. Es bildet die Rechtslage nach Energiegesetz (EnG), Energieverordnung (EnV), Stromversorgungsgesetz (StromVG), Stromversorgungsverordnung (StromVV) und Obligationenrecht (OR) ab, wie sie dem Projekt bekannt ist, einschliesslich der Antworten des Fachsekretariats der ElCom vom 16. Juni 2026. Vor der Verwendung an die konkreten Verhältnisse anpassen und mit dem Verteilnetzbetreiber abstimmen.</w:t>
      </w:r>
    </w:p>
    <w:p>
      <w:pPr>
        <w:pStyle w:val="Heading2"/>
      </w:pPr>
      <w:r>
        <w:t xml:space="preserve">Gebrauchsanleitung</w:t>
      </w:r>
    </w:p>
    <w:p>
      <w:pPr>
        <w:spacing w:after="120"/>
      </w:pPr>
      <w:r>
        <w:rPr>
          <w:b/>
          <w:bCs/>
        </w:rPr>
        <w:t xml:space="preserve">Was ein vZEV ist.</w:t>
      </w:r>
      <w:r>
        <w:t xml:space="preserve"> Seit dem 1. Januar 2025 kann ein Zusammenschluss zum Eigenverbrauch (ZEV) unter Spannungsebenen von 1 kV auch die Anschlussleitungen und die lokale elektrische Infrastruktur beim Netzanschlusspunkt nutzen, etwa die Niederspannungsverteilung in einer Trafostation oder einer Verteilkabine (Art. 17 Abs. 1 EnG, Art. 14 Abs. 3 EnV). Neue Leitungen zwischen den Gebäuden braucht es nicht mehr. Die bestehenden Zähler des Netzbetreibers bilden zusammen einen virtuellen Messpunkt. Gegenüber dem Netzbetreiber ist der vZEV ein einziger Endverbraucher (Art. 18 Abs. 1 EnG): Er erhält eine einzige Rechnung für den Strombezug aus dem Netz, die Teilnehmenden rechnen intern untereinander ab.</w:t>
      </w:r>
    </w:p>
    <w:p>
      <w:pPr>
        <w:spacing w:after="120"/>
      </w:pPr>
      <w:r>
        <w:rPr>
          <w:b/>
          <w:bCs/>
        </w:rPr>
        <w:t xml:space="preserve">Abgrenzung.</w:t>
      </w:r>
    </w:p>
    <w:p>
      <w:pPr>
        <w:pStyle w:val="ListParagraph"/>
        <w:numPr>
          <w:ilvl w:val="0"/>
          <w:numId w:val="2"/>
        </w:numPr>
        <w:spacing w:after="60"/>
      </w:pPr>
      <w:r>
        <w:rPr>
          <w:b/>
          <w:bCs/>
        </w:rPr>
        <w:t xml:space="preserve">Klassischer ZEV in einem Gebäude oder auf einem Areal einer Eigentümerin</w:t>
      </w:r>
      <w:r>
        <w:t xml:space="preserve"> mit Mietparteien: siehe das Muster «ZEV in Mietverhältnissen».</w:t>
      </w:r>
    </w:p>
    <w:p>
      <w:pPr>
        <w:pStyle w:val="ListParagraph"/>
        <w:numPr>
          <w:ilvl w:val="0"/>
          <w:numId w:val="2"/>
        </w:numPr>
        <w:spacing w:after="60"/>
      </w:pPr>
      <w:r>
        <w:rPr>
          <w:b/>
          <w:bCs/>
        </w:rPr>
        <w:t xml:space="preserve">Lokale Elektrizitätsgemeinschaft (LEG):</w:t>
      </w:r>
      <w:r>
        <w:t xml:space="preserve"> Nutzt den Strom über das Verteilnetz innerhalb einer Gemeinde und mit Abschlag auf dem Netznutzungstarif; die Teilnehmenden bleiben einzelne Endverbraucher. Siehe das Muster «LEG als Verein».</w:t>
      </w:r>
    </w:p>
    <w:p>
      <w:pPr>
        <w:pStyle w:val="ListParagraph"/>
        <w:numPr>
          <w:ilvl w:val="0"/>
          <w:numId w:val="2"/>
        </w:numPr>
        <w:spacing w:after="60"/>
      </w:pPr>
      <w:r>
        <w:rPr>
          <w:b/>
          <w:bCs/>
        </w:rPr>
        <w:t xml:space="preserve">Praxismodell:</w:t>
      </w:r>
      <w:r>
        <w:t xml:space="preserve"> Eine Anlagenbetreiberin verkauft Strom an einzelne Endverbraucher am Ort der Produktion, ohne Zusammenschluss. Nicht Gegenstand dieses Musters.</w:t>
      </w:r>
    </w:p>
    <w:p>
      <w:pPr>
        <w:spacing w:after="120"/>
      </w:pPr>
      <w:r>
        <w:rPr>
          <w:b/>
          <w:bCs/>
        </w:rPr>
        <w:t xml:space="preserve">Aufbau.</w:t>
      </w:r>
    </w:p>
    <w:p>
      <w:pPr>
        <w:pStyle w:val="ListParagraph"/>
        <w:numPr>
          <w:ilvl w:val="0"/>
          <w:numId w:val="2"/>
        </w:numPr>
        <w:spacing w:after="60"/>
      </w:pPr>
      <w:r>
        <w:rPr>
          <w:b/>
          <w:bCs/>
        </w:rPr>
        <w:t xml:space="preserve">Teil A – Gesellschaftsvertrag</w:t>
      </w:r>
      <w:r>
        <w:t xml:space="preserve"> unter den teilnehmenden Grundeigentümerinnen und Grundeigentümern (einfache Gesellschaft).</w:t>
      </w:r>
    </w:p>
    <w:p>
      <w:pPr>
        <w:pStyle w:val="ListParagraph"/>
        <w:numPr>
          <w:ilvl w:val="0"/>
          <w:numId w:val="2"/>
        </w:numPr>
        <w:spacing w:after="60"/>
      </w:pPr>
      <w:r>
        <w:rPr>
          <w:b/>
          <w:bCs/>
        </w:rPr>
        <w:t xml:space="preserve">Teil B – Zusatz zum Mietvertrag</w:t>
      </w:r>
      <w:r>
        <w:t xml:space="preserve"> für Mietparteien, die über ihre Vermieterin am vZEV teilnehmen.</w:t>
      </w:r>
    </w:p>
    <w:p>
      <w:pPr>
        <w:pStyle w:val="ListParagraph"/>
        <w:numPr>
          <w:ilvl w:val="0"/>
          <w:numId w:val="2"/>
        </w:numPr>
        <w:spacing w:after="60"/>
      </w:pPr>
      <w:r>
        <w:rPr>
          <w:b/>
          <w:bCs/>
        </w:rPr>
        <w:t xml:space="preserve">Teil C – Abrechnungsmodell</w:t>
      </w:r>
      <w:r>
        <w:t xml:space="preserve"> mit Berechnungsbeispiel.</w:t>
      </w:r>
    </w:p>
    <w:p>
      <w:pPr>
        <w:pStyle w:val="ListParagraph"/>
        <w:numPr>
          <w:ilvl w:val="0"/>
          <w:numId w:val="2"/>
        </w:numPr>
        <w:spacing w:after="60"/>
      </w:pPr>
      <w:r>
        <w:rPr>
          <w:b/>
          <w:bCs/>
        </w:rPr>
        <w:t xml:space="preserve">Teil D – Stammdatenblatt</w:t>
      </w:r>
      <w:r>
        <w:t xml:space="preserve"> mit Teilnehmenden, Anlagen und Messpunkten.</w:t>
      </w:r>
    </w:p>
    <w:p>
      <w:pPr>
        <w:pStyle w:val="ListParagraph"/>
        <w:numPr>
          <w:ilvl w:val="0"/>
          <w:numId w:val="2"/>
        </w:numPr>
        <w:spacing w:after="60"/>
      </w:pPr>
      <w:r>
        <w:rPr>
          <w:b/>
          <w:bCs/>
        </w:rPr>
        <w:t xml:space="preserve">Teil E – Beitrittserklärung und Meldung an den Verteilnetzbetreiber</w:t>
      </w:r>
      <w:r>
        <w:t xml:space="preserve"> (Vorlagen).</w:t>
      </w:r>
    </w:p>
    <w:p>
      <w:pPr>
        <w:spacing w:after="120"/>
      </w:pPr>
      <w:r>
        <w:rPr>
          <w:b/>
          <w:bCs/>
        </w:rPr>
        <w:t xml:space="preserve">Platzhalter.</w:t>
      </w:r>
      <w:r>
        <w:t xml:space="preserve"> Eckige Klammern […] sind auszufüllen. Wo mehrere Lösungen möglich sind, steht </w:t>
      </w:r>
      <w:r>
        <w:rPr>
          <w:b/>
          <w:bCs/>
        </w:rPr>
        <w:t xml:space="preserve">[VARIANTE A / B / C]</w:t>
      </w:r>
      <w:r>
        <w:t xml:space="preserve"> – eine wählen und die anderen streichen. </w:t>
      </w:r>
      <w:r>
        <w:rPr>
          <w:b/>
          <w:bCs/>
        </w:rPr>
        <w:t xml:space="preserve">[OPTIONAL]</w:t>
      </w:r>
      <w:r>
        <w:t xml:space="preserve"> markiert Bestimmungen, die weggelassen werden können. </w:t>
      </w:r>
      <w:r>
        <w:rPr>
          <w:b/>
          <w:bCs/>
        </w:rPr>
        <w:t xml:space="preserve">Erläuterungen</w:t>
      </w:r>
      <w:r>
        <w:t xml:space="preserve"> sind vor der Unterzeichnung zu entfernen.</w:t>
      </w:r>
    </w:p>
    <w:p>
      <w:pPr>
        <w:spacing w:after="120"/>
      </w:pPr>
      <w:r>
        <w:rPr>
          <w:b/>
          <w:bCs/>
        </w:rPr>
        <w:t xml:space="preserve">Die wichtigsten Rechtsgrundlagen</w:t>
      </w:r>
    </w:p>
    <w:p>
      <w:pPr>
        <w:pStyle w:val="ListParagraph"/>
        <w:numPr>
          <w:ilvl w:val="0"/>
          <w:numId w:val="2"/>
        </w:numPr>
        <w:spacing w:after="60"/>
      </w:pPr>
      <w:r>
        <w:t xml:space="preserve">Art. 16–18 EnG (SR 730.0): Eigenverbrauch, Zusammenschluss, Verhältnis zum Netzbetreiber</w:t>
      </w:r>
    </w:p>
    <w:p>
      <w:pPr>
        <w:pStyle w:val="ListParagraph"/>
        <w:numPr>
          <w:ilvl w:val="0"/>
          <w:numId w:val="2"/>
        </w:numPr>
        <w:spacing w:after="60"/>
      </w:pPr>
      <w:r>
        <w:t xml:space="preserve">Art. 14–18 EnV (SR 730.01): Ort der Produktion einschliesslich Anschlussleitungen (Art. 14 Abs. 3), Mindestgrösse (Art. 15), Kostenanlastung an Mietparteien (Art. 16–16b), Meldungen, Information durch den Netzbetreiber innert 15 Arbeitstagen und unentgeltliche Lastgangdaten (Art. 18)</w:t>
      </w:r>
    </w:p>
    <w:p>
      <w:pPr>
        <w:pStyle w:val="ListParagraph"/>
        <w:numPr>
          <w:ilvl w:val="0"/>
          <w:numId w:val="2"/>
        </w:numPr>
        <w:spacing w:after="60"/>
      </w:pPr>
      <w:r>
        <w:t xml:space="preserve">Art. 17abis StromVG und Art. 8asexies StromVV: intelligente Messsysteme für die Teilnehmenden</w:t>
      </w:r>
    </w:p>
    <w:p>
      <w:pPr>
        <w:pStyle w:val="ListParagraph"/>
        <w:numPr>
          <w:ilvl w:val="0"/>
          <w:numId w:val="2"/>
        </w:numPr>
        <w:spacing w:after="60"/>
      </w:pPr>
      <w:r>
        <w:t xml:space="preserve">Art. 14 und 17a StromVG: Netznutzungsentgelt und Messentgelt</w:t>
      </w:r>
    </w:p>
    <w:p>
      <w:pPr>
        <w:pStyle w:val="ListParagraph"/>
        <w:numPr>
          <w:ilvl w:val="0"/>
          <w:numId w:val="2"/>
        </w:numPr>
        <w:spacing w:after="60"/>
      </w:pPr>
      <w:r>
        <w:t xml:space="preserve">Art. 15 EnG und Art. 12 EnV: Abnahme und Vergütung des eingespeisten Stroms</w:t>
      </w:r>
    </w:p>
    <w:p>
      <w:pPr>
        <w:pStyle w:val="ListParagraph"/>
        <w:numPr>
          <w:ilvl w:val="0"/>
          <w:numId w:val="2"/>
        </w:numPr>
        <w:spacing w:after="60"/>
      </w:pPr>
      <w:r>
        <w:t xml:space="preserve">Art. 62 Abs. 3 und 4 EnG: ElCom für das Verhältnis zum Netzbetreiber, Zivilgerichte für das Verhältnis unter den Beteiligten</w:t>
      </w:r>
    </w:p>
    <w:p>
      <w:pPr>
        <w:pStyle w:val="ListParagraph"/>
        <w:numPr>
          <w:ilvl w:val="0"/>
          <w:numId w:val="2"/>
        </w:numPr>
        <w:spacing w:after="60"/>
      </w:pPr>
      <w:r>
        <w:t xml:space="preserve">Art. 530–551 OR: einfache Gesellschaft</w:t>
      </w:r>
    </w:p>
    <w:p>
      <w:pPr>
        <w:pStyle w:val="ListParagraph"/>
        <w:numPr>
          <w:ilvl w:val="0"/>
          <w:numId w:val="2"/>
        </w:numPr>
        <w:spacing w:after="60"/>
      </w:pPr>
      <w:r>
        <w:t xml:space="preserve">Art. 257a, 257b und 269d OR: Nebenkosten und einseitige Vertragsänderungen im Mietverhältnis</w:t>
      </w:r>
    </w:p>
    <w:p>
      <w:pPr>
        <w:pStyle w:val="ListParagraph"/>
        <w:numPr>
          <w:ilvl w:val="0"/>
          <w:numId w:val="2"/>
        </w:numPr>
        <w:spacing w:after="60"/>
      </w:pPr>
      <w:r>
        <w:t xml:space="preserve">Bundesgesetz über den Datenschutz (DSG): Bearbeitung der Verbrauchsdaten</w:t>
      </w:r>
    </w:p>
    <w:p>
      <w:pPr>
        <w:pBdr>
          <w:left w:val="single" w:color="0F5C4A" w:sz="18" w:space="6"/>
        </w:pBdr>
        <w:shd w:fill="EEF3F1" w:color="auto" w:val="clear"/>
        <w:spacing w:after="120" w:before="60"/>
        <w:ind w:left="120" w:right="120"/>
      </w:pPr>
      <w:r>
        <w:rPr>
          <w:b/>
          <w:bCs/>
          <w:color w:val="44546A"/>
          <w:sz w:val="19"/>
          <w:szCs w:val="19"/>
        </w:rPr>
        <w:t xml:space="preserve">Erläuterung zu den Artikelnummern:</w:t>
      </w:r>
      <w:r>
        <w:rPr>
          <w:color w:val="44546A"/>
          <w:sz w:val="19"/>
          <w:szCs w:val="19"/>
        </w:rPr>
        <w:t xml:space="preserve"> Die Verordnungen werden laufend angepasst, zuletzt per 1. Juli 2026 und voraussichtlich per 1. Januar 2027. Vor der Verwendung die geltenden Fassungen auf fedlex.admin.ch prüfen.</w:t>
      </w:r>
    </w:p>
    <w:p>
      <w:pPr>
        <w:spacing w:after="120"/>
      </w:pPr>
      <w:r>
        <w:rPr>
          <w:b/>
          <w:bCs/>
        </w:rPr>
        <w:t xml:space="preserve">Vor der Gründung prüfen</w:t>
      </w:r>
    </w:p>
    <w:p>
      <w:pPr>
        <w:tabs>
          <w:tab w:val="left" w:pos="425"/>
        </w:tabs>
        <w:spacing w:after="60"/>
        <w:ind w:left="425" w:hanging="425"/>
      </w:pPr>
      <w:r>
        <w:t xml:space="preserve">1.	</w:t>
      </w:r>
      <w:r>
        <w:rPr>
          <w:b/>
          <w:bCs/>
        </w:rPr>
        <w:t xml:space="preserve">Ort der Produktion.</w:t>
      </w:r>
      <w:r>
        <w:t xml:space="preserve"> Alle Teilnehmenden müssen an derselben Anschlussleitung oder am selben Netzanschlusspunkt hängen, in der Regel an derselben Verteilkabine oder Trafostation (Niederspannung). Hängen sie an einer Abzweigmuffe einer Leitung, ist ein vZEV nur möglich, wenn von dieser mehrere Anschlussleitungen abzweigen. Massgebend ist der Normalschaltzustand des Netzes; auf die Eigentumsverhältnisse an Leitungen und Anlagen kommt es nicht an.</w:t>
      </w:r>
    </w:p>
    <w:p>
      <w:pPr>
        <w:tabs>
          <w:tab w:val="left" w:pos="425"/>
        </w:tabs>
        <w:spacing w:after="60"/>
        <w:ind w:left="425" w:hanging="425"/>
      </w:pPr>
      <w:r>
        <w:t xml:space="preserve">2.	</w:t>
      </w:r>
      <w:r>
        <w:rPr>
          <w:b/>
          <w:bCs/>
        </w:rPr>
        <w:t xml:space="preserve">Anfrage beim Netzbetreiber.</w:t>
      </w:r>
      <w:r>
        <w:t xml:space="preserve"> Der Verteilnetzbetreiber muss einer Grundeigentümerin innert 15 Arbeitstagen die Informationen geben, die für die Bildung eines ZEV mit Anschlussleitungen nötig sind, etwa zur Netztopologie und zur Anschlusssituation (Art. 18 Abs. 5 EnV). Personendaten Dritter gibt er nicht heraus; die Eigentümerinnen und Eigentümer der Nachbargrundstücke lassen sich über das Grundbuch ermitteln.</w:t>
      </w:r>
    </w:p>
    <w:p>
      <w:pPr>
        <w:tabs>
          <w:tab w:val="left" w:pos="425"/>
        </w:tabs>
        <w:spacing w:after="60"/>
        <w:ind w:left="425" w:hanging="425"/>
      </w:pPr>
      <w:r>
        <w:t xml:space="preserve">3.	</w:t>
      </w:r>
      <w:r>
        <w:rPr>
          <w:b/>
          <w:bCs/>
        </w:rPr>
        <w:t xml:space="preserve">Mindestgrösse.</w:t>
      </w:r>
      <w:r>
        <w:t xml:space="preserve"> Die Produktionsleistung aller Anlagen muss mindestens 10 % der Anschlussleistung des Zusammenschlusses betragen (Art. 15 Abs. 1 EnV). Bei einem späteren Beitritt neuer Teilnehmender ist das neu zu prüfen.</w:t>
      </w:r>
    </w:p>
    <w:p>
      <w:pPr>
        <w:tabs>
          <w:tab w:val="left" w:pos="425"/>
        </w:tabs>
        <w:spacing w:after="60"/>
        <w:ind w:left="425" w:hanging="425"/>
      </w:pPr>
      <w:r>
        <w:t xml:space="preserve">4.	</w:t>
      </w:r>
      <w:r>
        <w:rPr>
          <w:b/>
          <w:bCs/>
        </w:rPr>
        <w:t xml:space="preserve">Messkonzept.</w:t>
      </w:r>
      <w:r>
        <w:t xml:space="preserve"> Die Grundeigentümerinnen und Grundeigentümer entscheiden, ob alle Teilnehmenden einen Zähler des Netzbetreibers behalten (VNB-Zähler) oder ob hinter einem Zähler des Netzbetreibers Privatzähler eingesetzt werden. Auf Verlangen muss der Netzbetreiber die Teilnehmenden mit intelligenten Messsystemen ausstatten und dem vZEV die Lastgangdaten für die interne Abrechnung unentgeltlich liefern.</w:t>
      </w:r>
    </w:p>
    <w:p>
      <w:pPr>
        <w:tabs>
          <w:tab w:val="left" w:pos="425"/>
        </w:tabs>
        <w:spacing w:after="60"/>
        <w:ind w:left="425" w:hanging="425"/>
      </w:pPr>
      <w:r>
        <w:t xml:space="preserve">5.	</w:t>
      </w:r>
      <w:r>
        <w:rPr>
          <w:b/>
          <w:bCs/>
        </w:rPr>
        <w:t xml:space="preserve">Netztarif und Kosten.</w:t>
      </w:r>
      <w:r>
        <w:t xml:space="preserve"> Der vZEV gilt als ein Endverbraucher: Der Grundpreis wird nur einmal verrechnet, das Messentgelt aber je Messpunkt. Wegen des grösseren Gesamtverbrauchs kann der vZEV in eine andere Kundengruppe, allenfalls mit Leistungstarif, fallen. Tarifblatt des Netzbetreibers vorher prüfen und die Wirkung berechnen.</w:t>
      </w:r>
    </w:p>
    <w:p>
      <w:pPr>
        <w:tabs>
          <w:tab w:val="left" w:pos="425"/>
        </w:tabs>
        <w:spacing w:after="60"/>
        <w:ind w:left="425" w:hanging="425"/>
      </w:pPr>
      <w:r>
        <w:t xml:space="preserve">6.	</w:t>
      </w:r>
      <w:r>
        <w:rPr>
          <w:b/>
          <w:bCs/>
        </w:rPr>
        <w:t xml:space="preserve">Meldung.</w:t>
      </w:r>
      <w:r>
        <w:t xml:space="preserve"> Die Bildung des vZEV, seine Vertretung, die teilnehmenden Mietparteien und allfällige Speicher sind dem Netzbetreiber mindestens drei Monate im Voraus zu melden (Art. 18 Abs. 1 EnV; Vorlage in Teil E).</w:t>
      </w:r>
    </w:p>
    <w:p>
      <w:pPr>
        <w:tabs>
          <w:tab w:val="left" w:pos="425"/>
        </w:tabs>
        <w:spacing w:after="60"/>
        <w:ind w:left="425" w:hanging="425"/>
      </w:pPr>
      <w:r>
        <w:t xml:space="preserve">7.	</w:t>
      </w:r>
      <w:r>
        <w:rPr>
          <w:b/>
          <w:bCs/>
        </w:rPr>
        <w:t xml:space="preserve">Bestehende ZEV.</w:t>
      </w:r>
      <w:r>
        <w:t xml:space="preserve"> Ein bestehender ZEV kann nicht als Untereinheit im vZEV weiterbestehen; er geht im vZEV auf. Seine Mietparteien müssen der Teilnahme am vZEV zustimmen.</w:t>
      </w:r>
    </w:p>
    <w:p>
      <w:pPr>
        <w:tabs>
          <w:tab w:val="left" w:pos="425"/>
        </w:tabs>
        <w:spacing w:after="60"/>
        <w:ind w:left="425" w:hanging="425"/>
      </w:pPr>
      <w:r>
        <w:t xml:space="preserve">8.	</w:t>
      </w:r>
      <w:r>
        <w:rPr>
          <w:b/>
          <w:bCs/>
        </w:rPr>
        <w:t xml:space="preserve">Hohe Einmalvergütung.</w:t>
      </w:r>
      <w:r>
        <w:t xml:space="preserve"> Eine Anlage, die eine hohe Einmalvergütung erhalten hat, muss während 20 Jahren ihren gesamten Strom ins Netz einspeisen. Wird sie früher in einen vZEV eingebracht, ist die Vergütung anteilig zurückzuerstatten.</w:t>
      </w:r>
    </w:p>
    <w:p>
      <w:pPr>
        <w:tabs>
          <w:tab w:val="left" w:pos="425"/>
        </w:tabs>
        <w:spacing w:after="60"/>
        <w:ind w:left="425" w:hanging="425"/>
      </w:pPr>
      <w:r>
        <w:t xml:space="preserve">9.	</w:t>
      </w:r>
      <w:r>
        <w:rPr>
          <w:b/>
          <w:bCs/>
        </w:rPr>
        <w:t xml:space="preserve">Stockwerkeigentum.</w:t>
      </w:r>
      <w:r>
        <w:t xml:space="preserve"> Ob eine Stockwerkeigentümergemeinschaft als Ganzes teilnimmt (mit Anlage auf dem gemeinschaftlichen Dach) oder die einzelnen Stockwerkeigentümerinnen und -eigentümer, ist vorab mit dem Reglement und einem Beschluss der Gemeinschaft zu klären.</w:t>
      </w:r>
    </w:p>
    <w:p>
      <w:pPr>
        <w:tabs>
          <w:tab w:val="left" w:pos="425"/>
        </w:tabs>
        <w:spacing w:after="60"/>
        <w:ind w:left="425" w:hanging="425"/>
      </w:pPr>
      <w:r>
        <w:t xml:space="preserve">10.	</w:t>
      </w:r>
      <w:r>
        <w:rPr>
          <w:b/>
          <w:bCs/>
        </w:rPr>
        <w:t xml:space="preserve">Mehrwertsteuer und Steuern.</w:t>
      </w:r>
      <w:r>
        <w:t xml:space="preserve"> Interne Stromlieferungen gegen Entgelt können für die Anlagenbetreibenden mehrwertsteuerlich und bei den Einkommenssteuern relevant sein. Im Zweifel bei der Steuerverwaltung abklären.</w:t>
      </w:r>
    </w:p>
    <w:p>
      <w:pPr>
        <w:spacing w:after="120"/>
      </w:pPr>
      <w:r>
        <w:rPr>
          <w:b/>
          <w:bCs/>
        </w:rPr>
        <w:t xml:space="preserve">Warum eine einfache Gesellschaft?</w:t>
      </w:r>
      <w:r>
        <w:t xml:space="preserve"> Für kleinere Nachbarschaften ist sie die einfachste Form: Es braucht keine Statuten und keinen Handelsregistereintrag. Sie hat aber zwei Folgen, die alle kennen müssen. Erstens haften die Gesellschafterinnen und Gesellschafter für die Schulden des vZEV gegenüber Dritten, insbesondere für die Rechnung des Netzbetreibers, solidarisch (Art. 544 Abs. 3 OR); der Vertrag regelt deshalb Akontozahlungen, Sicherheiten und den Ausschluss säumiger Teilnehmender. Zweitens wird eine einfache Gesellschaft von Gesetzes wegen durch Tod oder Konkurs einer Gesellschafterin oder eines Gesellschafters aufgelöst (Art. 545 OR), sofern der Vertrag nichts anderes bestimmt; Teil A Ziff. 17 sieht deshalb die Fortsetzung vor. Für grössere Zusammenschlüsse kann ein Verein (vgl. das Muster «LEG als Verein») die bessere Form sein.</w:t>
      </w:r>
    </w:p>
    <w:p>
      <w:pPr>
        <w:pStyle w:val="Heading1"/>
        <w:pageBreakBefore/>
      </w:pPr>
      <w:r>
        <w:t xml:space="preserve">Teil A – Gesellschaftsvertrag: Virtueller Zusammenschluss zum Eigenverbrauch «[Name]»</w:t>
      </w:r>
    </w:p>
    <w:p>
      <w:pPr>
        <w:spacing w:after="120"/>
      </w:pPr>
      <w:r>
        <w:t xml:space="preserve">zwischen den in Teil D aufgeführten Grundeigentümerinnen und Grundeigentümern (je einzeln «Teilnehmende», zusammen «Gesellschaft» oder «vZEV»)</w:t>
      </w:r>
    </w:p>
    <w:p>
      <w:pPr>
        <w:pStyle w:val="Heading2"/>
      </w:pPr>
      <w:r>
        <w:t xml:space="preserve">1. Zweck und Rechtsform</w:t>
      </w:r>
    </w:p>
    <w:p>
      <w:pPr>
        <w:tabs>
          <w:tab w:val="left" w:pos="425"/>
        </w:tabs>
        <w:spacing w:after="60"/>
        <w:ind w:left="425" w:hanging="425"/>
      </w:pPr>
      <w:r>
        <w:t xml:space="preserve">1.	</w:t>
      </w:r>
      <w:r>
        <w:t xml:space="preserve">Die Teilnehmenden bilden einen Zusammenschluss zum Eigenverbrauch im Sinne von Art. 17 EnG unter Nutzung der Anschlussleitungen und der lokalen elektrischen Infrastruktur beim Netzanschlusspunkt [Bezeichnung, z. B. Verteilkabine Nr. ●] (Art. 14 Abs. 3 EnV).</w:t>
      </w:r>
    </w:p>
    <w:p>
      <w:pPr>
        <w:tabs>
          <w:tab w:val="left" w:pos="425"/>
        </w:tabs>
        <w:spacing w:after="60"/>
        <w:ind w:left="425" w:hanging="425"/>
      </w:pPr>
      <w:r>
        <w:t xml:space="preserve">2.	</w:t>
      </w:r>
      <w:r>
        <w:t xml:space="preserve">Zweck ist der gemeinsame Verbrauch der im vZEV erzeugten Elektrizität, die gemeinsame Vertretung gegenüber dem Verteilnetzbetreiber und die interne Abrechnung. Die Gesellschaft verfolgt keinen Gewinnzweck.</w:t>
      </w:r>
    </w:p>
    <w:p>
      <w:pPr>
        <w:tabs>
          <w:tab w:val="left" w:pos="425"/>
        </w:tabs>
        <w:spacing w:after="60"/>
        <w:ind w:left="425" w:hanging="425"/>
      </w:pPr>
      <w:r>
        <w:t xml:space="preserve">3.	</w:t>
      </w:r>
      <w:r>
        <w:t xml:space="preserve">Die Teilnehmenden bilden eine einfache Gesellschaft nach Art. 530 ff. OR. Die Gesellschaft tritt unter der Bezeichnung «vZEV [Name]» auf.</w:t>
      </w:r>
    </w:p>
    <w:p>
      <w:pPr>
        <w:pStyle w:val="Heading2"/>
      </w:pPr>
      <w:r>
        <w:t xml:space="preserve">2. Begriffe</w:t>
      </w:r>
    </w:p>
    <w:p>
      <w:pPr>
        <w:tabs>
          <w:tab w:val="left" w:pos="425"/>
        </w:tabs>
        <w:spacing w:after="60"/>
        <w:ind w:left="425" w:hanging="425"/>
      </w:pPr>
      <w:r>
        <w:t xml:space="preserve">1.	</w:t>
      </w:r>
      <w:r>
        <w:rPr>
          <w:b/>
          <w:bCs/>
        </w:rPr>
        <w:t xml:space="preserve">Anlagen:</w:t>
      </w:r>
      <w:r>
        <w:t xml:space="preserve"> die Anlagen zur Erzeugung von Elektrizität aus erneuerbaren Energien und die Speicher, die in Teil D aufgeführt sind.</w:t>
      </w:r>
    </w:p>
    <w:p>
      <w:pPr>
        <w:tabs>
          <w:tab w:val="left" w:pos="425"/>
        </w:tabs>
        <w:spacing w:after="60"/>
        <w:ind w:left="425" w:hanging="425"/>
      </w:pPr>
      <w:r>
        <w:t xml:space="preserve">2.	</w:t>
      </w:r>
      <w:r>
        <w:rPr>
          <w:b/>
          <w:bCs/>
        </w:rPr>
        <w:t xml:space="preserve">Interne Elektrizität:</w:t>
      </w:r>
      <w:r>
        <w:t xml:space="preserve"> die im vZEV erzeugte Elektrizität, die in derselben Viertelstunde von Teilnehmenden verbraucht wird.</w:t>
      </w:r>
    </w:p>
    <w:p>
      <w:pPr>
        <w:tabs>
          <w:tab w:val="left" w:pos="425"/>
        </w:tabs>
        <w:spacing w:after="60"/>
        <w:ind w:left="425" w:hanging="425"/>
      </w:pPr>
      <w:r>
        <w:t xml:space="preserve">3.	</w:t>
      </w:r>
      <w:r>
        <w:rPr>
          <w:b/>
          <w:bCs/>
        </w:rPr>
        <w:t xml:space="preserve">Externe Elektrizität:</w:t>
      </w:r>
      <w:r>
        <w:t xml:space="preserve"> die Elektrizität, die der vZEV aus dem Netz bezieht.</w:t>
      </w:r>
    </w:p>
    <w:p>
      <w:pPr>
        <w:tabs>
          <w:tab w:val="left" w:pos="425"/>
        </w:tabs>
        <w:spacing w:after="60"/>
        <w:ind w:left="425" w:hanging="425"/>
      </w:pPr>
      <w:r>
        <w:t xml:space="preserve">4.	</w:t>
      </w:r>
      <w:r>
        <w:rPr>
          <w:b/>
          <w:bCs/>
        </w:rPr>
        <w:t xml:space="preserve">Überschuss:</w:t>
      </w:r>
      <w:r>
        <w:t xml:space="preserve"> die im vZEV erzeugte Elektrizität, die nicht intern verbraucht und ins Netz eingespeist wird.</w:t>
      </w:r>
    </w:p>
    <w:p>
      <w:pPr>
        <w:tabs>
          <w:tab w:val="left" w:pos="425"/>
        </w:tabs>
        <w:spacing w:after="60"/>
        <w:ind w:left="425" w:hanging="425"/>
      </w:pPr>
      <w:r>
        <w:t xml:space="preserve">5.	</w:t>
      </w:r>
      <w:r>
        <w:rPr>
          <w:b/>
          <w:bCs/>
        </w:rPr>
        <w:t xml:space="preserve">Teilnehmende Endverbraucher:</w:t>
      </w:r>
      <w:r>
        <w:t xml:space="preserve"> die Teilnehmenden selbst sowie ihre Mietparteien und Pächterinnen, die nach Teil B teilnehmen.</w:t>
      </w:r>
    </w:p>
    <w:p>
      <w:pPr>
        <w:tabs>
          <w:tab w:val="left" w:pos="425"/>
        </w:tabs>
        <w:spacing w:after="60"/>
        <w:ind w:left="425" w:hanging="425"/>
      </w:pPr>
      <w:r>
        <w:t xml:space="preserve">6.	</w:t>
      </w:r>
      <w:r>
        <w:rPr>
          <w:b/>
          <w:bCs/>
        </w:rPr>
        <w:t xml:space="preserve">Geschäftsführung:</w:t>
      </w:r>
      <w:r>
        <w:t xml:space="preserve"> die nach Ziff. 6 bezeichnete Person oder Stelle.</w:t>
      </w:r>
    </w:p>
    <w:p>
      <w:pPr>
        <w:pStyle w:val="Heading2"/>
      </w:pPr>
      <w:r>
        <w:t xml:space="preserve">3. Gründung und Bedingungen</w:t>
      </w:r>
    </w:p>
    <w:p>
      <w:pPr>
        <w:tabs>
          <w:tab w:val="left" w:pos="425"/>
        </w:tabs>
        <w:spacing w:after="60"/>
        <w:ind w:left="425" w:hanging="425"/>
      </w:pPr>
      <w:r>
        <w:t xml:space="preserve">1.	</w:t>
      </w:r>
      <w:r>
        <w:t xml:space="preserve">Dieser Vertrag tritt mit der Unterzeichnung durch alle in Teil D aufgeführten Teilnehmenden in Kraft.</w:t>
      </w:r>
    </w:p>
    <w:p>
      <w:pPr>
        <w:tabs>
          <w:tab w:val="left" w:pos="425"/>
        </w:tabs>
        <w:spacing w:after="60"/>
        <w:ind w:left="425" w:hanging="425"/>
      </w:pPr>
      <w:r>
        <w:t xml:space="preserve">2.	</w:t>
      </w:r>
      <w:r>
        <w:t xml:space="preserve">Der Zusammenschluss wird auf den </w:t>
      </w:r>
      <w:r>
        <w:rPr>
          <w:b/>
          <w:bCs/>
        </w:rPr>
        <w:t xml:space="preserve">[Datum, frühestens drei Monate nach der Meldung]</w:t>
      </w:r>
      <w:r>
        <w:t xml:space="preserve"> wirksam, sofern:</w:t>
      </w:r>
    </w:p>
    <w:p>
      <w:pPr>
        <w:spacing w:after="120"/>
        <w:ind w:left="425"/>
      </w:pPr>
      <w:r>
        <w:t xml:space="preserve">a. der Verteilnetzbetreiber bestätigt hat, dass die Voraussetzungen des Orts der Produktion und der Mindestgrösse erfüllt sind, oder er die Bildung nicht innert der Meldefrist beanstandet hat; und</w:t>
      </w:r>
    </w:p>
    <w:p>
      <w:pPr>
        <w:spacing w:after="120"/>
        <w:ind w:left="425"/>
      </w:pPr>
      <w:r>
        <w:t xml:space="preserve">b. die teilnehmenden Mietparteien nach Teil B zugestimmt haben, soweit ihre Zustimmung erforderlich ist.</w:t>
      </w:r>
    </w:p>
    <w:p>
      <w:pPr>
        <w:tabs>
          <w:tab w:val="left" w:pos="425"/>
        </w:tabs>
        <w:spacing w:after="60"/>
        <w:ind w:left="425" w:hanging="425"/>
      </w:pPr>
      <w:r>
        <w:t xml:space="preserve">3.	</w:t>
      </w:r>
      <w:r>
        <w:t xml:space="preserve">Verweigert der Verteilnetzbetreiber die Umsetzung, entscheiden die Teilnehmenden einstimmig, ob sie die ElCom anrufen (Art. 62 Abs. 3 EnG) oder den Vertrag aufheben. Bis zum Wirksamwerden trägt jede teilnehmende Person ihre eigenen Kosten; gemeinsame Gründungskosten (z. B. Abklärungen, Beratung) werden </w:t>
      </w:r>
      <w:r>
        <w:rPr>
          <w:b/>
          <w:bCs/>
        </w:rPr>
        <w:t xml:space="preserve">[zu gleichen Teilen / im Verhältnis der Anschlussleistung]</w:t>
      </w:r>
      <w:r>
        <w:t xml:space="preserve"> getragen.</w:t>
      </w:r>
    </w:p>
    <w:p>
      <w:pPr>
        <w:pStyle w:val="Heading2"/>
      </w:pPr>
      <w:r>
        <w:t xml:space="preserve">4. Anlagen und Eigentum</w:t>
      </w:r>
    </w:p>
    <w:p>
      <w:pPr>
        <w:tabs>
          <w:tab w:val="left" w:pos="425"/>
        </w:tabs>
        <w:spacing w:after="60"/>
        <w:ind w:left="425" w:hanging="425"/>
      </w:pPr>
      <w:r>
        <w:t xml:space="preserve">1.	</w:t>
      </w:r>
      <w:r>
        <w:rPr>
          <w:b/>
          <w:bCs/>
        </w:rPr>
        <w:t xml:space="preserve">[VARIANTE A – eigene Anlagen:]</w:t>
      </w:r>
      <w:r>
        <w:t xml:space="preserve"> Jede Anlage gehört der teilnehmenden Person, auf deren Grundstück sie steht. Sie bleibt für Bau, Betrieb, Unterhalt, Versicherung und Bewilligungen allein verantwortlich und trägt die Kosten.</w:t>
      </w:r>
    </w:p>
    <w:p>
      <w:pPr>
        <w:spacing w:after="120"/>
        <w:ind w:left="425"/>
      </w:pPr>
      <w:r>
        <w:rPr>
          <w:b/>
          <w:bCs/>
        </w:rPr>
        <w:t xml:space="preserve">[VARIANTE B – gemeinsame Anlage:]</w:t>
      </w:r>
      <w:r>
        <w:t xml:space="preserve"> Die Anlage auf dem Grundstück von [●] steht im Miteigentum der beteiligten Teilnehmenden zu den Quoten gemäss Teil D. Die Grundeigentümerin räumt den Miteigentümerinnen und Miteigentümern dafür eine Dienstbarkeit ein, die öffentlich beurkundet und im Grundbuch eingetragen wird. Für Betrieb, Unterhalt, Erneuerung und Kosten gilt eine separate Nutzungs- und Verwaltungsordnung (Art. 647 ZGB).</w:t>
      </w:r>
    </w:p>
    <w:p>
      <w:pPr>
        <w:tabs>
          <w:tab w:val="left" w:pos="425"/>
        </w:tabs>
        <w:spacing w:after="60"/>
        <w:ind w:left="425" w:hanging="425"/>
      </w:pPr>
      <w:r>
        <w:t xml:space="preserve">2.	</w:t>
      </w:r>
      <w:r>
        <w:t xml:space="preserve">Die Betreiberinnen und Betreiber der Anlagen stellen dem vZEV die erzeugte Elektrizität zum internen Verbrauch zur Verfügung. Ein Anspruch auf eine bestimmte Produktionsmenge besteht nicht.</w:t>
      </w:r>
    </w:p>
    <w:p>
      <w:pPr>
        <w:tabs>
          <w:tab w:val="left" w:pos="425"/>
        </w:tabs>
        <w:spacing w:after="60"/>
        <w:ind w:left="425" w:hanging="425"/>
      </w:pPr>
      <w:r>
        <w:t xml:space="preserve">3.	</w:t>
      </w:r>
      <w:r>
        <w:t xml:space="preserve">Wer eine Anlage stilllegt, erheblich verkleinert oder ersetzt, informiert die Geschäftsführung mindestens [drei] Monate im Voraus, damit die Mindestgrösse geprüft und die Meldung an den Verteilnetzbetreiber angepasst werden kann.</w:t>
      </w:r>
    </w:p>
    <w:p>
      <w:pPr>
        <w:tabs>
          <w:tab w:val="left" w:pos="425"/>
        </w:tabs>
        <w:spacing w:after="60"/>
        <w:ind w:left="425" w:hanging="425"/>
      </w:pPr>
      <w:r>
        <w:t xml:space="preserve">4.	</w:t>
      </w:r>
      <w:r>
        <w:t xml:space="preserve">Neue Anlagen von Teilnehmenden werden in den vZEV aufgenommen, wenn die betreibende Person dies verlangt und die Geschäftsführung den Verteilnetzbetreiber informiert hat.</w:t>
      </w:r>
    </w:p>
    <w:p>
      <w:pPr>
        <w:pStyle w:val="Heading2"/>
      </w:pPr>
      <w:r>
        <w:t xml:space="preserve">5. Netzanschluss und Messung</w:t>
      </w:r>
    </w:p>
    <w:p>
      <w:pPr>
        <w:tabs>
          <w:tab w:val="left" w:pos="425"/>
        </w:tabs>
        <w:spacing w:after="60"/>
        <w:ind w:left="425" w:hanging="425"/>
      </w:pPr>
      <w:r>
        <w:t xml:space="preserve">1.	</w:t>
      </w:r>
      <w:r>
        <w:t xml:space="preserve">Massgebend für den Bezug aus dem Netz ist der virtuelle Messpunkt, den der Verteilnetzbetreiber aus den Messpunkten nach Teil D bildet.</w:t>
      </w:r>
    </w:p>
    <w:p>
      <w:pPr>
        <w:tabs>
          <w:tab w:val="left" w:pos="425"/>
        </w:tabs>
        <w:spacing w:after="60"/>
        <w:ind w:left="425" w:hanging="425"/>
      </w:pPr>
      <w:r>
        <w:t xml:space="preserve">2.	</w:t>
      </w:r>
      <w:r>
        <w:rPr>
          <w:b/>
          <w:bCs/>
        </w:rPr>
        <w:t xml:space="preserve">[VARIANTE A – VNB-Zähler:]</w:t>
      </w:r>
      <w:r>
        <w:t xml:space="preserve"> Alle teilnehmenden Endverbraucher und alle Anlagen behalten einen Zähler des Verteilnetzbetreibers. Die Geschäftsführung verlangt vom Verteilnetzbetreiber die Ausstattung mit intelligenten Messsystemen, soweit sie noch fehlen, und die unentgeltliche Lieferung der Lastgangdaten (Viertelstundenwerte) für die interne Abrechnung.</w:t>
      </w:r>
    </w:p>
    <w:p>
      <w:pPr>
        <w:spacing w:after="120"/>
        <w:ind w:left="425"/>
      </w:pPr>
      <w:r>
        <w:rPr>
          <w:b/>
          <w:bCs/>
        </w:rPr>
        <w:t xml:space="preserve">[VARIANTE B – Privatzähler:]</w:t>
      </w:r>
      <w:r>
        <w:t xml:space="preserve"> Am Netzanschluss [●] misst der Verteilnetzbetreiber; dahinter werden Privatzähler eingesetzt, die den Messmittelvorschriften entsprechen und Viertelstundenwerte erfassen. Bereitstellung, Eichung und Datenübertragung der Privatzähler organisiert die Geschäftsführung; die Kosten werden nach Ziff. 9 Abs. 4 verteilt.</w:t>
      </w:r>
    </w:p>
    <w:p>
      <w:pPr>
        <w:tabs>
          <w:tab w:val="left" w:pos="425"/>
        </w:tabs>
        <w:spacing w:after="60"/>
        <w:ind w:left="425" w:hanging="425"/>
      </w:pPr>
      <w:r>
        <w:t xml:space="preserve">3.	</w:t>
      </w:r>
      <w:r>
        <w:t xml:space="preserve">Die Teilnehmenden ermächtigen die Geschäftsführung, beim Verteilnetzbetreiber ihre Messdaten zu beziehen, soweit dies für die interne Abrechnung nötig ist.</w:t>
      </w:r>
    </w:p>
    <w:p>
      <w:pPr>
        <w:tabs>
          <w:tab w:val="left" w:pos="425"/>
        </w:tabs>
        <w:spacing w:after="60"/>
        <w:ind w:left="425" w:hanging="425"/>
      </w:pPr>
      <w:r>
        <w:t xml:space="preserve">4.	</w:t>
      </w:r>
      <w:r>
        <w:t xml:space="preserve">Der Verbrauch für gemeinsame Einrichtungen (z. B. gemeinsame Beleuchtung, Ladestationen auf gemeinsamen Parkplätzen) wird separat gemessen und nach Teil D verteilt.</w:t>
      </w:r>
    </w:p>
    <w:p>
      <w:pPr>
        <w:pStyle w:val="Heading2"/>
      </w:pPr>
      <w:r>
        <w:t xml:space="preserve">6. Geschäftsführung und Vertretung</w:t>
      </w:r>
    </w:p>
    <w:p>
      <w:pPr>
        <w:tabs>
          <w:tab w:val="left" w:pos="425"/>
        </w:tabs>
        <w:spacing w:after="60"/>
        <w:ind w:left="425" w:hanging="425"/>
      </w:pPr>
      <w:r>
        <w:t xml:space="preserve">1.	</w:t>
      </w:r>
      <w:r>
        <w:t xml:space="preserve">Die Teilnehmenden übertragen die Geschäftsführung und die Vertretung des vZEV gegenüber dem Verteilnetzbetreiber und Dritten </w:t>
      </w:r>
      <w:r>
        <w:rPr>
          <w:b/>
          <w:bCs/>
        </w:rPr>
        <w:t xml:space="preserve">[VARIANTE A:]</w:t>
      </w:r>
      <w:r>
        <w:t xml:space="preserve"> an [Name der teilnehmenden Person] </w:t>
      </w:r>
      <w:r>
        <w:rPr>
          <w:b/>
          <w:bCs/>
        </w:rPr>
        <w:t xml:space="preserve">[VARIANTE B:]</w:t>
      </w:r>
      <w:r>
        <w:t xml:space="preserve"> an [Name des Dienstleisters] gestützt auf den Dienstleistungsvertrag vom [Datum]. Die übrigen Teilnehmenden sind von der Geschäftsführung ausgeschlossen (Art. 535 Abs. 1 OR).</w:t>
      </w:r>
    </w:p>
    <w:p>
      <w:pPr>
        <w:tabs>
          <w:tab w:val="left" w:pos="425"/>
        </w:tabs>
        <w:spacing w:after="60"/>
        <w:ind w:left="425" w:hanging="425"/>
      </w:pPr>
      <w:r>
        <w:t xml:space="preserve">2.	</w:t>
      </w:r>
      <w:r>
        <w:t xml:space="preserve">Die Geschäftsführung ist insbesondere zuständig für:</w:t>
      </w:r>
    </w:p>
    <w:p>
      <w:pPr>
        <w:spacing w:after="120"/>
        <w:ind w:left="425"/>
      </w:pPr>
      <w:r>
        <w:t xml:space="preserve">a. die Meldungen an den Verteilnetzbetreiber;</w:t>
      </w:r>
    </w:p>
    <w:p>
      <w:pPr>
        <w:spacing w:after="120"/>
        <w:ind w:left="425"/>
      </w:pPr>
      <w:r>
        <w:t xml:space="preserve">b. den Bezug der Messdaten und die interne Abrechnung nach Teil C;</w:t>
      </w:r>
    </w:p>
    <w:p>
      <w:pPr>
        <w:spacing w:after="120"/>
        <w:ind w:left="425"/>
      </w:pPr>
      <w:r>
        <w:t xml:space="preserve">c. die Bezahlung der Rechnungen des Verteilnetzbetreibers aus den Akontozahlungen;</w:t>
      </w:r>
    </w:p>
    <w:p>
      <w:pPr>
        <w:spacing w:after="120"/>
        <w:ind w:left="425"/>
      </w:pPr>
      <w:r>
        <w:t xml:space="preserve">d. die Führung eines separaten Kontos für den vZEV und die Jahresrechnung;</w:t>
      </w:r>
    </w:p>
    <w:p>
      <w:pPr>
        <w:spacing w:after="120"/>
        <w:ind w:left="425"/>
      </w:pPr>
      <w:r>
        <w:t xml:space="preserve">e. die Vorbereitung und Durchführung der Beschlüsse nach Ziff. 15.</w:t>
      </w:r>
    </w:p>
    <w:p>
      <w:pPr>
        <w:tabs>
          <w:tab w:val="left" w:pos="425"/>
        </w:tabs>
        <w:spacing w:after="60"/>
        <w:ind w:left="425" w:hanging="425"/>
      </w:pPr>
      <w:r>
        <w:t xml:space="preserve">3.	</w:t>
      </w:r>
      <w:r>
        <w:t xml:space="preserve">Für Geschäfte, die über die gewöhnliche Verwaltung hinausgehen, insbesondere den Wechsel des Stromprodukts, Verträge mit einer Laufzeit über einem Jahr oder Ausgaben über Fr. [●], braucht die Geschäftsführung einen Beschluss nach Ziff. 15.</w:t>
      </w:r>
    </w:p>
    <w:p>
      <w:pPr>
        <w:tabs>
          <w:tab w:val="left" w:pos="425"/>
        </w:tabs>
        <w:spacing w:after="60"/>
        <w:ind w:left="425" w:hanging="425"/>
      </w:pPr>
      <w:r>
        <w:t xml:space="preserve">4.	</w:t>
      </w:r>
      <w:r>
        <w:t xml:space="preserve">Die Geschäftsführung erhält </w:t>
      </w:r>
      <w:r>
        <w:rPr>
          <w:b/>
          <w:bCs/>
        </w:rPr>
        <w:t xml:space="preserve">[keine Entschädigung / eine Entschädigung von Fr. ● pro Jahr / die Vergütung gemäss Dienstleistungsvertrag]</w:t>
      </w:r>
      <w:r>
        <w:t xml:space="preserve">, die nach Ziff. 9 Abs. 4 verteilt wird. Die Geschäftsführung kann mit einer Frist von [sechs] Monaten auf Ende eines Abrechnungsjahres niedergelegt oder entzogen werden.</w:t>
      </w:r>
    </w:p>
    <w:p>
      <w:pPr>
        <w:pStyle w:val="Heading2"/>
      </w:pPr>
      <w:r>
        <w:t xml:space="preserve">7. Externe Elektrizität</w:t>
      </w:r>
    </w:p>
    <w:p>
      <w:pPr>
        <w:tabs>
          <w:tab w:val="left" w:pos="425"/>
        </w:tabs>
        <w:spacing w:after="60"/>
        <w:ind w:left="425" w:hanging="425"/>
      </w:pPr>
      <w:r>
        <w:t xml:space="preserve">1.	</w:t>
      </w:r>
      <w:r>
        <w:t xml:space="preserve">Der vZEV bezieht die externe Elektrizität </w:t>
      </w:r>
      <w:r>
        <w:rPr>
          <w:b/>
          <w:bCs/>
        </w:rPr>
        <w:t xml:space="preserve">[VARIANTE A – Grundversorgung:]</w:t>
      </w:r>
      <w:r>
        <w:t xml:space="preserve"> in der Grundversorgung von [Verteilnetzbetreiber] mit dem Produkt «[Bezeichnung]» </w:t>
      </w:r>
      <w:r>
        <w:rPr>
          <w:b/>
          <w:bCs/>
        </w:rPr>
        <w:t xml:space="preserve">[VARIANTE B – freier Markt:]</w:t>
      </w:r>
      <w:r>
        <w:t xml:space="preserve"> auf dem freien Markt gestützt auf einen Liefervertrag mit [Lieferant] bis [Datum].</w:t>
      </w:r>
    </w:p>
    <w:p>
      <w:pPr>
        <w:tabs>
          <w:tab w:val="left" w:pos="425"/>
        </w:tabs>
        <w:spacing w:after="60"/>
        <w:ind w:left="425" w:hanging="425"/>
      </w:pPr>
      <w:r>
        <w:t xml:space="preserve">2.	</w:t>
      </w:r>
      <w:r>
        <w:t xml:space="preserve">Ein Wechsel des Produkts in der Grundversorgung ist auf Beginn eines Kalenderjahres möglich und bedarf eines Beschlusses mit der Mehrheit nach Ziff. 15 Abs. 2.</w:t>
      </w:r>
    </w:p>
    <w:p>
      <w:pPr>
        <w:tabs>
          <w:tab w:val="left" w:pos="425"/>
        </w:tabs>
        <w:spacing w:after="60"/>
        <w:ind w:left="425" w:hanging="425"/>
      </w:pPr>
      <w:r>
        <w:t xml:space="preserve">3.	</w:t>
      </w:r>
      <w:r>
        <w:t xml:space="preserve">Ein Wechsel in den freien Markt ist nur möglich, wenn der vZEV mindestens 100 MWh pro Jahr verbraucht. Er bedarf der Zustimmung aller Teilnehmenden und, soweit Mietparteien teilnehmen, deren vorgängiger Information nach Teil B. Eine Rückkehr in die Grundversorgung ist danach nicht mehr möglich.</w:t>
      </w:r>
    </w:p>
    <w:p>
      <w:pPr>
        <w:tabs>
          <w:tab w:val="left" w:pos="425"/>
        </w:tabs>
        <w:spacing w:after="60"/>
        <w:ind w:left="425" w:hanging="425"/>
      </w:pPr>
      <w:r>
        <w:t xml:space="preserve">4.	</w:t>
      </w:r>
      <w:r>
        <w:t xml:space="preserve">Der vZEV kann für den Bezug aus dem Netz nur ein Produkt und nur eine Versorgungsart (Grundversorgung oder freier Markt) haben. Einzelne Teilnehmende oder Speicher können nicht separat beliefert werden.</w:t>
      </w:r>
    </w:p>
    <w:p>
      <w:pPr>
        <w:pStyle w:val="Heading2"/>
      </w:pPr>
      <w:r>
        <w:t xml:space="preserve">8. Interne Elektrizität und interner Preis</w:t>
      </w:r>
    </w:p>
    <w:p>
      <w:pPr>
        <w:tabs>
          <w:tab w:val="left" w:pos="425"/>
        </w:tabs>
        <w:spacing w:after="60"/>
        <w:ind w:left="425" w:hanging="425"/>
      </w:pPr>
      <w:r>
        <w:t xml:space="preserve">1.	</w:t>
      </w:r>
      <w:r>
        <w:t xml:space="preserve">Die interne Elektrizität wird je Viertelstunde den teilnehmenden Endverbrauchern im Verhältnis ihres Verbrauchs zugeteilt und den Anlagen im Verhältnis ihrer Produktion gutgeschrieben (Teil C).</w:t>
      </w:r>
    </w:p>
    <w:p>
      <w:pPr>
        <w:tabs>
          <w:tab w:val="left" w:pos="425"/>
        </w:tabs>
        <w:spacing w:after="60"/>
        <w:ind w:left="425" w:hanging="425"/>
      </w:pPr>
      <w:r>
        <w:t xml:space="preserve">2.	</w:t>
      </w:r>
      <w:r>
        <w:t xml:space="preserve">Für die interne Elektrizität gilt folgender Preis (ohne Mehrwertsteuer):</w:t>
      </w:r>
    </w:p>
    <w:p>
      <w:pPr>
        <w:spacing w:after="120"/>
        <w:ind w:left="425"/>
      </w:pPr>
      <w:r>
        <w:rPr>
          <w:b/>
          <w:bCs/>
        </w:rPr>
        <w:t xml:space="preserve">[VARIANTE A – fester Preis:]</w:t>
      </w:r>
      <w:r>
        <w:t xml:space="preserve"> [●] Rp./kWh, gültig für das Kalenderjahr [●]; über eine Anpassung beschliessen die Teilnehmenden bis zum [30. September] mit Wirkung für das folgende Kalenderjahr.</w:t>
      </w:r>
    </w:p>
    <w:p>
      <w:pPr>
        <w:spacing w:after="120"/>
        <w:ind w:left="425"/>
      </w:pPr>
      <w:r>
        <w:rPr>
          <w:b/>
          <w:bCs/>
        </w:rPr>
        <w:t xml:space="preserve">[VARIANTE B – Anteil am Netzpreis:]</w:t>
      </w:r>
      <w:r>
        <w:t xml:space="preserve"> [●] % des Arbeitspreises (Energie, Netznutzung, Abgaben und Netzzuschlag pro kWh), den der vZEV im gleichen Zeitraum für die externe Elektrizität bezahlt, mindestens jedoch [●] Rp./kWh.</w:t>
      </w:r>
    </w:p>
    <w:p>
      <w:pPr>
        <w:spacing w:after="120"/>
        <w:ind w:left="425"/>
      </w:pPr>
      <w:r>
        <w:rPr>
          <w:b/>
          <w:bCs/>
        </w:rPr>
        <w:t xml:space="preserve">[VARIANTE C – Kostenbasis:]</w:t>
      </w:r>
      <w:r>
        <w:t xml:space="preserve"> die durchschnittlichen Gestehungskosten der Anlagen (Kapitalkosten bei einer Abschreibungsdauer von [25] Jahren und einem Zinssatz von [●] %, Betrieb und Unterhalt) abzüglich der Erlöse aus dem Überschuss, höchstens jedoch der Arbeitspreis nach Variante B.</w:t>
      </w:r>
    </w:p>
    <w:p>
      <w:pPr>
        <w:tabs>
          <w:tab w:val="left" w:pos="425"/>
        </w:tabs>
        <w:spacing w:after="60"/>
        <w:ind w:left="425" w:hanging="425"/>
      </w:pPr>
      <w:r>
        <w:t xml:space="preserve">3.	</w:t>
      </w:r>
      <w:r>
        <w:t xml:space="preserve">Die teilnehmenden Endverbraucher bezahlen den internen Preis für die ihnen zugeteilte interne Elektrizität; die Betreiberinnen und Betreiber der Anlagen erhalten den internen Preis für die ihren Anlagen gutgeschriebene interne Elektrizität. Die Geschäftsführung verrechnet beides in der Abrechnung.</w:t>
      </w:r>
    </w:p>
    <w:p>
      <w:pPr>
        <w:tabs>
          <w:tab w:val="left" w:pos="425"/>
        </w:tabs>
        <w:spacing w:after="60"/>
        <w:ind w:left="425" w:hanging="425"/>
      </w:pPr>
      <w:r>
        <w:t xml:space="preserve">4.	</w:t>
      </w:r>
      <w:r>
        <w:t xml:space="preserve">Für Mietparteien gelten zusätzlich die Preisobergrenzen nach Teil B. Kann eine Vermieterin den internen Preis nach diesen Grenzen nicht vollständig auf ihre Mietparteien überwälzen, trägt sie die Differenz selbst.</w:t>
      </w:r>
    </w:p>
    <w:p>
      <w:pPr>
        <w:pBdr>
          <w:left w:val="single" w:color="0F5C4A" w:sz="18" w:space="6"/>
        </w:pBdr>
        <w:shd w:fill="EEF3F1" w:color="auto" w:val="clear"/>
        <w:spacing w:after="120" w:before="60"/>
        <w:ind w:left="120" w:right="120"/>
      </w:pPr>
      <w:r>
        <w:rPr>
          <w:b/>
          <w:bCs/>
          <w:color w:val="44546A"/>
          <w:sz w:val="19"/>
          <w:szCs w:val="19"/>
        </w:rPr>
        <w:t xml:space="preserve">Erläuterung zu Ziff. 8:</w:t>
      </w:r>
      <w:r>
        <w:rPr>
          <w:color w:val="44546A"/>
          <w:sz w:val="19"/>
          <w:szCs w:val="19"/>
        </w:rPr>
        <w:t xml:space="preserve"> Der interne Preis sollte zwischen der Rückliefervergütung, die eine Anlage für eingespeisten Strom erhält, und dem Arbeitspreis des Netzbezugs liegen. Dann lohnt sich der vZEV für Produzierende und Verbrauchende. Variante A ist am einfachsten, Variante B passt sich automatisch an die Tarife an, Variante C ist am gerechtesten, verlangt aber eine Kostenrechnung. Ob Produzierende ihren eigenen Verbrauch zuerst decken, bevor der Rest auf alle verteilt wird, ist eine Grundsatzfrage: Das Muster verteilt die interne Elektrizität auf alle gleich (Pool). Eine Variante mit Vorrang des eigenen Verbrauchs ist in den offenen Fragen aufgeführt.</w:t>
      </w:r>
    </w:p>
    <w:p>
      <w:pPr>
        <w:pStyle w:val="Heading2"/>
      </w:pPr>
      <w:r>
        <w:t xml:space="preserve">9. Kosten des Netzbezugs und weitere Kosten</w:t>
      </w:r>
    </w:p>
    <w:p>
      <w:pPr>
        <w:tabs>
          <w:tab w:val="left" w:pos="425"/>
        </w:tabs>
        <w:spacing w:after="60"/>
        <w:ind w:left="425" w:hanging="425"/>
      </w:pPr>
      <w:r>
        <w:t xml:space="preserve">1.	</w:t>
      </w:r>
      <w:r>
        <w:t xml:space="preserve">Die Rechnung des Verteilnetzbetreibers für den vZEV wird wie folgt verteilt:</w:t>
      </w:r>
    </w:p>
    <w:p>
      <w:pPr>
        <w:spacing w:after="120"/>
        <w:ind w:left="425"/>
      </w:pPr>
      <w:r>
        <w:t xml:space="preserve">a. </w:t>
      </w:r>
      <w:r>
        <w:rPr>
          <w:b/>
          <w:bCs/>
        </w:rPr>
        <w:t xml:space="preserve">Arbeitspreise</w:t>
      </w:r>
      <w:r>
        <w:t xml:space="preserve"> (Energie, Netznutzung, Abgaben und Netzzuschlag pro kWh): im Verhältnis der jedem teilnehmenden Endverbraucher zugeteilten externen Elektrizität;</w:t>
      </w:r>
    </w:p>
    <w:p>
      <w:pPr>
        <w:spacing w:after="120"/>
        <w:ind w:left="425"/>
      </w:pPr>
      <w:r>
        <w:t xml:space="preserve">b. </w:t>
      </w:r>
      <w:r>
        <w:rPr>
          <w:b/>
          <w:bCs/>
        </w:rPr>
        <w:t xml:space="preserve">Grundpreis</w:t>
      </w:r>
      <w:r>
        <w:t xml:space="preserve"> des vZEV: </w:t>
      </w:r>
      <w:r>
        <w:rPr>
          <w:b/>
          <w:bCs/>
        </w:rPr>
        <w:t xml:space="preserve">[zu gleichen Teilen auf die teilnehmenden Endverbraucher / im Verhältnis der Anschlussleistung]</w:t>
      </w:r>
      <w:r>
        <w:t xml:space="preserve">;</w:t>
      </w:r>
    </w:p>
    <w:p>
      <w:pPr>
        <w:spacing w:after="120"/>
        <w:ind w:left="425"/>
      </w:pPr>
      <w:r>
        <w:t xml:space="preserve">c. </w:t>
      </w:r>
      <w:r>
        <w:rPr>
          <w:b/>
          <w:bCs/>
        </w:rPr>
        <w:t xml:space="preserve">Leistungspreis</w:t>
      </w:r>
      <w:r>
        <w:t xml:space="preserve">, falls der vZEV einen Leistungstarif hat: </w:t>
      </w:r>
      <w:r>
        <w:rPr>
          <w:b/>
          <w:bCs/>
        </w:rPr>
        <w:t xml:space="preserve">[im Verhältnis des Beitrags jedes teilnehmenden Endverbrauchers zur verrechneten Leistungsspitze / im Verhältnis der externen Elektrizität]</w:t>
      </w:r>
      <w:r>
        <w:t xml:space="preserve">;</w:t>
      </w:r>
    </w:p>
    <w:p>
      <w:pPr>
        <w:spacing w:after="120"/>
        <w:ind w:left="425"/>
      </w:pPr>
      <w:r>
        <w:t xml:space="preserve">d. </w:t>
      </w:r>
      <w:r>
        <w:rPr>
          <w:b/>
          <w:bCs/>
        </w:rPr>
        <w:t xml:space="preserve">Messentgelte</w:t>
      </w:r>
      <w:r>
        <w:t xml:space="preserve">: je Messpunkt der Person, der der Messpunkt zugeordnet ist; ein Entgelt für den virtuellen Messpunkt nach Buchstabe b.</w:t>
      </w:r>
    </w:p>
    <w:p>
      <w:pPr>
        <w:tabs>
          <w:tab w:val="left" w:pos="425"/>
        </w:tabs>
        <w:spacing w:after="60"/>
        <w:ind w:left="425" w:hanging="425"/>
      </w:pPr>
      <w:r>
        <w:t xml:space="preserve">2.	</w:t>
      </w:r>
      <w:r>
        <w:t xml:space="preserve">Einspeisungen und Rückliefervergütungen sind nicht Teil dieser Rechnung, soweit sie nach Ziff. 10 direkt abgerechnet werden.</w:t>
      </w:r>
    </w:p>
    <w:p>
      <w:pPr>
        <w:tabs>
          <w:tab w:val="left" w:pos="425"/>
        </w:tabs>
        <w:spacing w:after="60"/>
        <w:ind w:left="425" w:hanging="425"/>
      </w:pPr>
      <w:r>
        <w:t xml:space="preserve">3.	</w:t>
      </w:r>
      <w:r>
        <w:t xml:space="preserve">Ergibt sich durch die Bildung des vZEV für eine teilnehmende Person ein deutlicher Nachteil gegenüber dem Netzbezug ohne vZEV, beraten die Teilnehmenden über eine Anpassung der Verteilschlüssel. Ein Anspruch auf Ausgleich besteht nicht.</w:t>
      </w:r>
    </w:p>
    <w:p>
      <w:pPr>
        <w:tabs>
          <w:tab w:val="left" w:pos="425"/>
        </w:tabs>
        <w:spacing w:after="60"/>
        <w:ind w:left="425" w:hanging="425"/>
      </w:pPr>
      <w:r>
        <w:t xml:space="preserve">4.	</w:t>
      </w:r>
      <w:r>
        <w:rPr>
          <w:b/>
          <w:bCs/>
        </w:rPr>
        <w:t xml:space="preserve">Gemeinsame Kosten</w:t>
      </w:r>
      <w:r>
        <w:t xml:space="preserve"> – Geschäftsführung, Abrechnungsdienstleister, Privatzähler und Datenübertragung, Versicherungen und Bankspesen des vZEV – werden </w:t>
      </w:r>
      <w:r>
        <w:rPr>
          <w:b/>
          <w:bCs/>
        </w:rPr>
        <w:t xml:space="preserve">[zu gleichen Teilen / im Verhältnis des Gesamtverbrauchs]</w:t>
      </w:r>
      <w:r>
        <w:t xml:space="preserve"> verteilt.</w:t>
      </w:r>
    </w:p>
    <w:p>
      <w:pPr>
        <w:pStyle w:val="Heading2"/>
      </w:pPr>
      <w:r>
        <w:t xml:space="preserve">10. Überschuss und Rückliefervergütung</w:t>
      </w:r>
    </w:p>
    <w:p>
      <w:pPr>
        <w:tabs>
          <w:tab w:val="left" w:pos="425"/>
        </w:tabs>
        <w:spacing w:after="60"/>
        <w:ind w:left="425" w:hanging="425"/>
      </w:pPr>
      <w:r>
        <w:t xml:space="preserve">1.	</w:t>
      </w:r>
      <w:r>
        <w:rPr>
          <w:b/>
          <w:bCs/>
        </w:rPr>
        <w:t xml:space="preserve">[VARIANTE A – direkt:]</w:t>
      </w:r>
      <w:r>
        <w:t xml:space="preserve"> Jede Betreiberin und jeder Betreiber einer Anlage vereinbart die Abnahme und Vergütung des Überschusses ihrer oder seiner Anlage direkt mit dem Verteilnetzbetreiber oder einem anderen Abnehmer. Massgebend für die Vergütung nach Art. 15 EnG ist die einzelne Anlage. Der vZEV meldet dem Verteilnetzbetreiber auf Verlangen, wie der Überschuss am virtuellen Messpunkt auf die Anlagen aufgeteilt wird (Teil C Ziff. 3).</w:t>
      </w:r>
    </w:p>
    <w:p>
      <w:pPr>
        <w:spacing w:after="120"/>
        <w:ind w:left="425"/>
      </w:pPr>
      <w:r>
        <w:rPr>
          <w:b/>
          <w:bCs/>
        </w:rPr>
        <w:t xml:space="preserve">[VARIANTE B – über den vZEV:]</w:t>
      </w:r>
      <w:r>
        <w:t xml:space="preserve"> Der vZEV vereinbart mit dem Verteilnetzbetreiber, dass die Rückliefervergütung dem vZEV ausgerichtet wird. Die Geschäftsführung verteilt sie im Verhältnis der den Anlagen zugeteilten Überschussmengen weiter.</w:t>
      </w:r>
    </w:p>
    <w:p>
      <w:pPr>
        <w:tabs>
          <w:tab w:val="left" w:pos="425"/>
        </w:tabs>
        <w:spacing w:after="60"/>
        <w:ind w:left="425" w:hanging="425"/>
      </w:pPr>
      <w:r>
        <w:t xml:space="preserve">2.	</w:t>
      </w:r>
      <w:r>
        <w:t xml:space="preserve">Die Teilnehmenden nehmen zur Kenntnis, dass ab dem 1. Januar 2027 der Referenz-Marktpreis zum Zeitpunkt der Einspeisung gilt, sofern nichts anderes vereinbart ist, und dass für Anlagen unter 150 kW Minimalvergütungen bestehen (Art. 15 Abs. 1bis EnG, Art. 12 und 12a EnV).</w:t>
      </w:r>
    </w:p>
    <w:p>
      <w:pPr>
        <w:pBdr>
          <w:left w:val="single" w:color="0F5C4A" w:sz="18" w:space="6"/>
        </w:pBdr>
        <w:shd w:fill="EEF3F1" w:color="auto" w:val="clear"/>
        <w:spacing w:after="120" w:before="60"/>
        <w:ind w:left="120" w:right="120"/>
      </w:pPr>
      <w:r>
        <w:rPr>
          <w:b/>
          <w:bCs/>
          <w:color w:val="44546A"/>
          <w:sz w:val="19"/>
          <w:szCs w:val="19"/>
        </w:rPr>
        <w:t xml:space="preserve">Erläuterung zu Ziff. 10:</w:t>
      </w:r>
      <w:r>
        <w:rPr>
          <w:color w:val="44546A"/>
          <w:sz w:val="19"/>
          <w:szCs w:val="19"/>
        </w:rPr>
        <w:t xml:space="preserve"> Nach Auffassung des Fachsekretariats der ElCom besteht die Abnahme- und Vergütungspflicht auch im vZEV grundsätzlich gegenüber den einzelnen Produzierenden; eine Vergütung an den vZEV muss ausdrücklich vereinbart werden. Das Handbuch Eigenverbrauchsregelung des VSE (HER-CH 2025) sieht dagegen die Vergütung an den Zusammenschluss vor. Variante A folgt der ElCom und ist deshalb im Muster bevorzugt. Für die Aufteilung des Überschusses am virtuellen Messpunkt auf mehrere Anlagen verweist die ElCom auf die drei Methoden des Leitfadens von Pronovo.</w:t>
      </w:r>
    </w:p>
    <w:p>
      <w:pPr>
        <w:pStyle w:val="Heading2"/>
      </w:pPr>
      <w:r>
        <w:t xml:space="preserve">11. Herkunftsnachweise</w:t>
      </w:r>
    </w:p>
    <w:p>
      <w:pPr>
        <w:spacing w:after="120"/>
      </w:pPr>
      <w:r>
        <w:t xml:space="preserve">Die Herkunftsnachweise bleiben bei den Betreiberinnen und Betreibern der Anlagen. Für intern verbrauchte Elektrizität werden sie, soweit sie ausgestellt werden, </w:t>
      </w:r>
      <w:r>
        <w:rPr>
          <w:b/>
          <w:bCs/>
        </w:rPr>
        <w:t xml:space="preserve">[den teilnehmenden Endverbrauchern im Verhältnis der zugeteilten internen Elektrizität übertragen / zugunsten des vZEV entwertet]</w:t>
      </w:r>
      <w:r>
        <w:t xml:space="preserve">.</w:t>
      </w:r>
    </w:p>
    <w:p>
      <w:pPr>
        <w:pStyle w:val="Heading2"/>
      </w:pPr>
      <w:r>
        <w:t xml:space="preserve">12. Speicher, Ladeinfrastruktur und Wärmepumpen</w:t>
      </w:r>
    </w:p>
    <w:p>
      <w:pPr>
        <w:tabs>
          <w:tab w:val="left" w:pos="425"/>
        </w:tabs>
        <w:spacing w:after="60"/>
        <w:ind w:left="425" w:hanging="425"/>
      </w:pPr>
      <w:r>
        <w:t xml:space="preserve">1.	</w:t>
      </w:r>
      <w:r>
        <w:t xml:space="preserve">Speicher können am vZEV teilnehmen. Ihr Einsatz und ihre Verwendungsart werden dem Verteilnetzbetreiber gemeldet. Ein Speicher kann nicht separat vom vZEV am Markt beschafften Strom beziehen.</w:t>
      </w:r>
    </w:p>
    <w:p>
      <w:pPr>
        <w:tabs>
          <w:tab w:val="left" w:pos="425"/>
        </w:tabs>
        <w:spacing w:after="60"/>
        <w:ind w:left="425" w:hanging="425"/>
      </w:pPr>
      <w:r>
        <w:t xml:space="preserve">2.	</w:t>
      </w:r>
      <w:r>
        <w:t xml:space="preserve">Elektrizität, die ein Speicher an die Teilnehmenden abgibt, gilt als intern, soweit sie aus den Anlagen des vZEV stammt; der Preis richtet sich nach Ziff. 8, sofern die Teilnehmenden für Speicher nichts anderes beschliessen.</w:t>
      </w:r>
    </w:p>
    <w:p>
      <w:pPr>
        <w:tabs>
          <w:tab w:val="left" w:pos="425"/>
        </w:tabs>
        <w:spacing w:after="60"/>
        <w:ind w:left="425" w:hanging="425"/>
      </w:pPr>
      <w:r>
        <w:t xml:space="preserve">3.	</w:t>
      </w:r>
      <w:r>
        <w:t xml:space="preserve">Wer neue grosse Verbraucher wie Wärmepumpen oder Ladestationen über [11] kW anschliesst, informiert die Geschäftsführung, damit die Auswirkungen auf den Leistungstarif des vZEV beurteilt werden können. </w:t>
      </w:r>
      <w:r>
        <w:rPr>
          <w:b/>
          <w:bCs/>
        </w:rPr>
        <w:t xml:space="preserve">[OPTIONAL:]</w:t>
      </w:r>
      <w:r>
        <w:t xml:space="preserve"> Die Teilnehmenden können ein Lastmanagement beschliessen, um Leistungsspitzen zu begrenzen.</w:t>
      </w:r>
    </w:p>
    <w:p>
      <w:pPr>
        <w:pStyle w:val="Heading2"/>
      </w:pPr>
      <w:r>
        <w:t xml:space="preserve">13. Abrechnung, Akonto und Sicherheiten</w:t>
      </w:r>
    </w:p>
    <w:p>
      <w:pPr>
        <w:tabs>
          <w:tab w:val="left" w:pos="425"/>
        </w:tabs>
        <w:spacing w:after="60"/>
        <w:ind w:left="425" w:hanging="425"/>
      </w:pPr>
      <w:r>
        <w:t xml:space="preserve">1.	</w:t>
      </w:r>
      <w:r>
        <w:t xml:space="preserve">Die Teilnehmenden leisten der Geschäftsführung monatliche </w:t>
      </w:r>
      <w:r>
        <w:rPr>
          <w:b/>
          <w:bCs/>
        </w:rPr>
        <w:t xml:space="preserve">[vierteljährliche]</w:t>
      </w:r>
      <w:r>
        <w:t xml:space="preserve"> Akontozahlungen in der Höhe der voraussichtlichen Kosten nach Ziff. 8 und 9. Die Geschäftsführung legt die Akontobeträge jährlich fest und kann sie bei veränderten Tarifen oder Verbräuchen mit einer Frist von einem Monat anpassen.</w:t>
      </w:r>
    </w:p>
    <w:p>
      <w:pPr>
        <w:tabs>
          <w:tab w:val="left" w:pos="425"/>
        </w:tabs>
        <w:spacing w:after="60"/>
        <w:ind w:left="425" w:hanging="425"/>
      </w:pPr>
      <w:r>
        <w:t xml:space="preserve">2.	</w:t>
      </w:r>
      <w:r>
        <w:t xml:space="preserve">Die Geschäftsführung rechnet </w:t>
      </w:r>
      <w:r>
        <w:rPr>
          <w:b/>
          <w:bCs/>
        </w:rPr>
        <w:t xml:space="preserve">[jährlich per 31. Dezember / quartalsweise]</w:t>
      </w:r>
      <w:r>
        <w:t xml:space="preserve"> ab (Mindestinhalt in Teil C Ziff. 4). Saldi sind innert 30 Tagen zu bezahlen oder werden zurückerstattet. Einwände gegen die Abrechnung sind innert 30 Tagen schriftlich zu erheben.</w:t>
      </w:r>
    </w:p>
    <w:p>
      <w:pPr>
        <w:tabs>
          <w:tab w:val="left" w:pos="425"/>
        </w:tabs>
        <w:spacing w:after="60"/>
        <w:ind w:left="425" w:hanging="425"/>
      </w:pPr>
      <w:r>
        <w:t xml:space="preserve">3.	</w:t>
      </w:r>
      <w:r>
        <w:rPr>
          <w:b/>
          <w:bCs/>
        </w:rPr>
        <w:t xml:space="preserve">[OPTIONAL:]</w:t>
      </w:r>
      <w:r>
        <w:t xml:space="preserve"> Jede teilnehmende Person leistet bei Eintritt eine Sicherheit von </w:t>
      </w:r>
      <w:r>
        <w:rPr>
          <w:b/>
          <w:bCs/>
        </w:rPr>
        <w:t xml:space="preserve">Fr. [●]</w:t>
      </w:r>
      <w:r>
        <w:t xml:space="preserve"> auf das Konto des vZEV, die bei Austritt mit der Schlussabrechnung verrechnet wird.</w:t>
      </w:r>
    </w:p>
    <w:p>
      <w:pPr>
        <w:pStyle w:val="Heading2"/>
      </w:pPr>
      <w:r>
        <w:t xml:space="preserve">14. Haftung</w:t>
      </w:r>
    </w:p>
    <w:p>
      <w:pPr>
        <w:tabs>
          <w:tab w:val="left" w:pos="425"/>
        </w:tabs>
        <w:spacing w:after="60"/>
        <w:ind w:left="425" w:hanging="425"/>
      </w:pPr>
      <w:r>
        <w:t xml:space="preserve">1.	</w:t>
      </w:r>
      <w:r>
        <w:t xml:space="preserve">Die Teilnehmenden haften gegenüber dem Verteilnetzbetreiber und Dritten für Verbindlichkeiten des vZEV solidarisch (Art. 544 Abs. 3 OR). Im Verhältnis untereinander tragen sie diese Verbindlichkeiten nach den Verteilschlüsseln dieses Vertrags.</w:t>
      </w:r>
    </w:p>
    <w:p>
      <w:pPr>
        <w:tabs>
          <w:tab w:val="left" w:pos="425"/>
        </w:tabs>
        <w:spacing w:after="60"/>
        <w:ind w:left="425" w:hanging="425"/>
      </w:pPr>
      <w:r>
        <w:t xml:space="preserve">2.	</w:t>
      </w:r>
      <w:r>
        <w:t xml:space="preserve">Wer eine fällige Zahlung trotz Mahnung mit einer Frist von 30 Tagen nicht leistet, schuldet Verzugszins von [5] % und ersetzt den übrigen Teilnehmenden, was diese an seiner Stelle bezahlt haben. Die Teilnehmenden können die säumige Person nach Ziff. 17 Abs. 3 ausschliessen.</w:t>
      </w:r>
    </w:p>
    <w:p>
      <w:pPr>
        <w:tabs>
          <w:tab w:val="left" w:pos="425"/>
        </w:tabs>
        <w:spacing w:after="60"/>
        <w:ind w:left="425" w:hanging="425"/>
      </w:pPr>
      <w:r>
        <w:t xml:space="preserve">3.	</w:t>
      </w:r>
      <w:r>
        <w:t xml:space="preserve">Jede Betreiberin und jeder Betreiber haftet für Schäden aus Bau und Betrieb der eigenen Anlage nach den allgemeinen Regeln; der vZEV übernimmt keine Haftung für die Anlagen.</w:t>
      </w:r>
    </w:p>
    <w:p>
      <w:pPr>
        <w:pStyle w:val="Heading2"/>
      </w:pPr>
      <w:r>
        <w:t xml:space="preserve">15. Beschlüsse</w:t>
      </w:r>
    </w:p>
    <w:p>
      <w:pPr>
        <w:tabs>
          <w:tab w:val="left" w:pos="425"/>
        </w:tabs>
        <w:spacing w:after="60"/>
        <w:ind w:left="425" w:hanging="425"/>
      </w:pPr>
      <w:r>
        <w:t xml:space="preserve">1.	</w:t>
      </w:r>
      <w:r>
        <w:t xml:space="preserve">Die Teilnehmenden fassen Beschlüsse an einer Versammlung, schriftlich oder elektronisch. Die Geschäftsführung lädt mindestens einmal jährlich ein und informiert über Abrechnung, Produktion und Kosten.</w:t>
      </w:r>
    </w:p>
    <w:p>
      <w:pPr>
        <w:tabs>
          <w:tab w:val="left" w:pos="425"/>
        </w:tabs>
        <w:spacing w:after="60"/>
        <w:ind w:left="425" w:hanging="425"/>
      </w:pPr>
      <w:r>
        <w:t xml:space="preserve">2.	</w:t>
      </w:r>
      <w:r>
        <w:t xml:space="preserve">Beschlüsse über die gewöhnliche Verwaltung, die Akontobeträge, den Wechsel des Stromprodukts in der Grundversorgung und Anpassungen der Verteilschlüssel nach Ziff. 9 Abs. 3 fassen die Teilnehmenden mit der Mehrheit der Stimmen; jede teilnehmende Grundeigentümerin und jeder teilnehmende Grundeigentümer hat eine Stimme </w:t>
      </w:r>
      <w:r>
        <w:rPr>
          <w:b/>
          <w:bCs/>
        </w:rPr>
        <w:t xml:space="preserve">[VARIANTE: Stimmen werden nach dem Anteil am Gesamtverbrauch gewichtet]</w:t>
      </w:r>
      <w:r>
        <w:t xml:space="preserve">.</w:t>
      </w:r>
    </w:p>
    <w:p>
      <w:pPr>
        <w:tabs>
          <w:tab w:val="left" w:pos="425"/>
        </w:tabs>
        <w:spacing w:after="60"/>
        <w:ind w:left="425" w:hanging="425"/>
      </w:pPr>
      <w:r>
        <w:t xml:space="preserve">3.	</w:t>
      </w:r>
      <w:r>
        <w:t xml:space="preserve">Einstimmigkeit ist erforderlich für Änderungen dieses Vertrags, die Aufnahme neuer Teilnehmender, den Wechsel in den freien Markt, die Auflösung und Beschlüsse, die einzelnen Teilnehmenden neue Pflichten auferlegen.</w:t>
      </w:r>
    </w:p>
    <w:p>
      <w:pPr>
        <w:pStyle w:val="Heading2"/>
      </w:pPr>
      <w:r>
        <w:t xml:space="preserve">16. Eintritt neuer Teilnehmender</w:t>
      </w:r>
    </w:p>
    <w:p>
      <w:pPr>
        <w:tabs>
          <w:tab w:val="left" w:pos="425"/>
        </w:tabs>
        <w:spacing w:after="60"/>
        <w:ind w:left="425" w:hanging="425"/>
      </w:pPr>
      <w:r>
        <w:t xml:space="preserve">1.	</w:t>
      </w:r>
      <w:r>
        <w:t xml:space="preserve">Grundeigentümerinnen und Grundeigentümer am selben Ort der Produktion können dem vZEV beitreten, wenn die Teilnehmenden zustimmen (Ziff. 15 Abs. 3) und die Mindestgrösse auch nach dem Beitritt eingehalten ist. Der Beitritt erfolgt mit der Beitrittserklärung nach Teil E.</w:t>
      </w:r>
    </w:p>
    <w:p>
      <w:pPr>
        <w:tabs>
          <w:tab w:val="left" w:pos="425"/>
        </w:tabs>
        <w:spacing w:after="60"/>
        <w:ind w:left="425" w:hanging="425"/>
      </w:pPr>
      <w:r>
        <w:t xml:space="preserve">2.	</w:t>
      </w:r>
      <w:r>
        <w:t xml:space="preserve">Die Geschäftsführung meldet den Beitritt dem Verteilnetzbetreiber mindestens drei Monate im Voraus. Der Beitritt wird auf den ersten Tag des Monats nach Ablauf der Meldefrist wirksam.</w:t>
      </w:r>
    </w:p>
    <w:p>
      <w:pPr>
        <w:tabs>
          <w:tab w:val="left" w:pos="425"/>
        </w:tabs>
        <w:spacing w:after="60"/>
        <w:ind w:left="425" w:hanging="425"/>
      </w:pPr>
      <w:r>
        <w:t xml:space="preserve">3.	</w:t>
      </w:r>
      <w:r>
        <w:rPr>
          <w:b/>
          <w:bCs/>
        </w:rPr>
        <w:t xml:space="preserve">[OPTIONAL:]</w:t>
      </w:r>
      <w:r>
        <w:t xml:space="preserve"> Neue Teilnehmende leisten einen Eintrittsbeitrag von Fr. [●] an die gemeinsamen Gründungskosten.</w:t>
      </w:r>
    </w:p>
    <w:p>
      <w:pPr>
        <w:pStyle w:val="Heading2"/>
      </w:pPr>
      <w:r>
        <w:t xml:space="preserve">17. Austritt, Handänderung und Ausschluss</w:t>
      </w:r>
    </w:p>
    <w:p>
      <w:pPr>
        <w:tabs>
          <w:tab w:val="left" w:pos="425"/>
        </w:tabs>
        <w:spacing w:after="60"/>
        <w:ind w:left="425" w:hanging="425"/>
      </w:pPr>
      <w:r>
        <w:t xml:space="preserve">1.	</w:t>
      </w:r>
      <w:r>
        <w:rPr>
          <w:b/>
          <w:bCs/>
        </w:rPr>
        <w:t xml:space="preserve">Ordentlicher Austritt.</w:t>
      </w:r>
      <w:r>
        <w:t xml:space="preserve"> Jede teilnehmende Person kann unter Einhaltung einer Frist von </w:t>
      </w:r>
      <w:r>
        <w:rPr>
          <w:b/>
          <w:bCs/>
        </w:rPr>
        <w:t xml:space="preserve">[sechs]</w:t>
      </w:r>
      <w:r>
        <w:t xml:space="preserve"> Monaten auf das Ende eines </w:t>
      </w:r>
      <w:r>
        <w:rPr>
          <w:b/>
          <w:bCs/>
        </w:rPr>
        <w:t xml:space="preserve">[Kalenderjahres / Kalenderquartals]</w:t>
      </w:r>
      <w:r>
        <w:t xml:space="preserve"> austreten, erstmals auf den [Datum, z. B. drei Jahre nach Gründung]. Die Austrittserklärung ist schriftlich an die Geschäftsführung zu richten.</w:t>
      </w:r>
    </w:p>
    <w:p>
      <w:pPr>
        <w:tabs>
          <w:tab w:val="left" w:pos="425"/>
        </w:tabs>
        <w:spacing w:after="60"/>
        <w:ind w:left="425" w:hanging="425"/>
      </w:pPr>
      <w:r>
        <w:t xml:space="preserve">2.	</w:t>
      </w:r>
      <w:r>
        <w:rPr>
          <w:b/>
          <w:bCs/>
        </w:rPr>
        <w:t xml:space="preserve">Handänderung.</w:t>
      </w:r>
      <w:r>
        <w:t xml:space="preserve"> Wer ein Grundstück veräussert, tritt auf den Tag des Eigentumsübergangs aus, sofern nicht die erwerbende Person mit Zustimmung der übrigen Teilnehmenden auf diesen Tag beitritt. Die veräussernde Person informiert die erwerbende Person über den vZEV und die Geschäftsführung mindestens [drei] Monate vor dem Eigentumsübergang.</w:t>
      </w:r>
    </w:p>
    <w:p>
      <w:pPr>
        <w:tabs>
          <w:tab w:val="left" w:pos="425"/>
        </w:tabs>
        <w:spacing w:after="60"/>
        <w:ind w:left="425" w:hanging="425"/>
      </w:pPr>
      <w:r>
        <w:t xml:space="preserve">3.	</w:t>
      </w:r>
      <w:r>
        <w:rPr>
          <w:b/>
          <w:bCs/>
        </w:rPr>
        <w:t xml:space="preserve">Ausschluss.</w:t>
      </w:r>
      <w:r>
        <w:t xml:space="preserve"> Die übrigen Teilnehmenden können eine teilnehmende Person aus wichtigem Grund durch einstimmigen Beschluss ausschliessen, insbesondere bei wiederholtem Zahlungsverzug oder schwerer Verletzung dieses Vertrags.</w:t>
      </w:r>
    </w:p>
    <w:p>
      <w:pPr>
        <w:tabs>
          <w:tab w:val="left" w:pos="425"/>
        </w:tabs>
        <w:spacing w:after="60"/>
        <w:ind w:left="425" w:hanging="425"/>
      </w:pPr>
      <w:r>
        <w:t xml:space="preserve">4.	</w:t>
      </w:r>
      <w:r>
        <w:rPr>
          <w:b/>
          <w:bCs/>
        </w:rPr>
        <w:t xml:space="preserve">Tod und Konkurs.</w:t>
      </w:r>
      <w:r>
        <w:t xml:space="preserve"> Stirbt eine teilnehmende Person oder fällt sie in Konkurs, wird die Gesellschaft abweichend von Art. 545 Abs. 1 Ziff. 2 und 3 OR unter den übrigen Teilnehmenden fortgesetzt; die ausscheidende Person oder ihre Erben werden nach Abs. 5 abgefunden (vgl. Art. 576 ff. OR sinngemäss). Erben oder die Erwerberin des Grundstücks können nach Ziff. 16 beitreten.</w:t>
      </w:r>
    </w:p>
    <w:p>
      <w:pPr>
        <w:tabs>
          <w:tab w:val="left" w:pos="425"/>
        </w:tabs>
        <w:spacing w:after="60"/>
        <w:ind w:left="425" w:hanging="425"/>
      </w:pPr>
      <w:r>
        <w:t xml:space="preserve">5.	</w:t>
      </w:r>
      <w:r>
        <w:rPr>
          <w:b/>
          <w:bCs/>
        </w:rPr>
        <w:t xml:space="preserve">Folgen.</w:t>
      </w:r>
      <w:r>
        <w:t xml:space="preserve"> Die austretende Person erhält eine Schlussabrechnung; Ansprüche auf das Gesellschaftsvermögen werden mit offenen Beträgen verrechnet. Die Geschäftsführung meldet den Austritt dem Verteilnetzbetreiber. Fällt der vZEV unter die Mindestgrösse oder bleibt nur eine teilnehmende Person, gilt Ziff. 18.</w:t>
      </w:r>
    </w:p>
    <w:p>
      <w:pPr>
        <w:tabs>
          <w:tab w:val="left" w:pos="425"/>
        </w:tabs>
        <w:spacing w:after="60"/>
        <w:ind w:left="425" w:hanging="425"/>
      </w:pPr>
      <w:r>
        <w:t xml:space="preserve">6.	</w:t>
      </w:r>
      <w:r>
        <w:t xml:space="preserve">Die Teilnahme von Mietparteien endet mit dem Austritt ihrer Vermieterin; Teil B Ziff. 6 bleibt vorbehalten.</w:t>
      </w:r>
    </w:p>
    <w:p>
      <w:pPr>
        <w:pStyle w:val="Heading2"/>
      </w:pPr>
      <w:r>
        <w:t xml:space="preserve">18. Auflösung</w:t>
      </w:r>
    </w:p>
    <w:p>
      <w:pPr>
        <w:tabs>
          <w:tab w:val="left" w:pos="425"/>
        </w:tabs>
        <w:spacing w:after="60"/>
        <w:ind w:left="425" w:hanging="425"/>
      </w:pPr>
      <w:r>
        <w:t xml:space="preserve">1.	</w:t>
      </w:r>
      <w:r>
        <w:t xml:space="preserve">Der vZEV wird aufgelöst durch einstimmigen Beschluss, wenn nur noch eine teilnehmende Person verbleibt oder wenn die Voraussetzungen des Zusammenschlusses (Ort der Produktion, Mindestgrösse) dauerhaft nicht mehr erfüllt sind.</w:t>
      </w:r>
    </w:p>
    <w:p>
      <w:pPr>
        <w:tabs>
          <w:tab w:val="left" w:pos="425"/>
        </w:tabs>
        <w:spacing w:after="60"/>
        <w:ind w:left="425" w:hanging="425"/>
      </w:pPr>
      <w:r>
        <w:t xml:space="preserve">2.	</w:t>
      </w:r>
      <w:r>
        <w:t xml:space="preserve">Die Geschäftsführung meldet die Auflösung dem Verteilnetzbetreiber mindestens drei Monate im Voraus, erstellt die Schlussabrechnung und verteilt ein allfälliges Vermögen im Verhältnis der Beiträge der letzten [zwei] Abrechnungsjahre. Mit der Auflösung werden alle teilnehmenden Endverbraucher wieder einzelne Kundinnen und Kunden des Verteilnetzbetreibers.</w:t>
      </w:r>
    </w:p>
    <w:p>
      <w:pPr>
        <w:pStyle w:val="Heading2"/>
      </w:pPr>
      <w:r>
        <w:t xml:space="preserve">19. Daten und Vertraulichkeit</w:t>
      </w:r>
    </w:p>
    <w:p>
      <w:pPr>
        <w:tabs>
          <w:tab w:val="left" w:pos="425"/>
        </w:tabs>
        <w:spacing w:after="60"/>
        <w:ind w:left="425" w:hanging="425"/>
      </w:pPr>
      <w:r>
        <w:t xml:space="preserve">1.	</w:t>
      </w:r>
      <w:r>
        <w:t xml:space="preserve">Die Geschäftsführung bearbeitet die Verbrauchs- und Produktionsdaten nur für die Abrechnung, die Meldungen an den Verteilnetzbetreiber, die Information nach Ziff. 15 Abs. 1 und anonymisierte Auswertungen. Lastgänge einzelner Teilnehmender werden den übrigen Teilnehmenden nicht offengelegt; die Abrechnung zeigt nur die eigenen Werte und die Summen des vZEV.</w:t>
      </w:r>
    </w:p>
    <w:p>
      <w:pPr>
        <w:tabs>
          <w:tab w:val="left" w:pos="425"/>
        </w:tabs>
        <w:spacing w:after="60"/>
        <w:ind w:left="425" w:hanging="425"/>
      </w:pPr>
      <w:r>
        <w:t xml:space="preserve">2.	</w:t>
      </w:r>
      <w:r>
        <w:t xml:space="preserve">Ein beauftragter Dienstleister ist vertraglich zur Einhaltung des Datenschutzes zu verpflichten (Art. 9 DSG). Daten werden nach Ablauf der Aufbewahrungsfrist für Buchhaltungsbelege gelöscht.</w:t>
      </w:r>
    </w:p>
    <w:p>
      <w:pPr>
        <w:pStyle w:val="Heading2"/>
      </w:pPr>
      <w:r>
        <w:t xml:space="preserve">20. Streitigkeiten</w:t>
      </w:r>
    </w:p>
    <w:p>
      <w:pPr>
        <w:tabs>
          <w:tab w:val="left" w:pos="425"/>
        </w:tabs>
        <w:spacing w:after="60"/>
        <w:ind w:left="425" w:hanging="425"/>
      </w:pPr>
      <w:r>
        <w:t xml:space="preserve">1.	</w:t>
      </w:r>
      <w:r>
        <w:t xml:space="preserve">Die Teilnehmenden versuchen, Streitigkeiten aus diesem Vertrag zuerst gütlich zu regeln. </w:t>
      </w:r>
      <w:r>
        <w:rPr>
          <w:b/>
          <w:bCs/>
        </w:rPr>
        <w:t xml:space="preserve">[OPTIONAL:]</w:t>
      </w:r>
      <w:r>
        <w:t xml:space="preserve"> Vor der Anrufung eines Gerichts führen sie eine Mediation durch.</w:t>
      </w:r>
    </w:p>
    <w:p>
      <w:pPr>
        <w:tabs>
          <w:tab w:val="left" w:pos="425"/>
        </w:tabs>
        <w:spacing w:after="60"/>
        <w:ind w:left="425" w:hanging="425"/>
      </w:pPr>
      <w:r>
        <w:t xml:space="preserve">2.	</w:t>
      </w:r>
      <w:r>
        <w:t xml:space="preserve">Für Streitigkeiten unter den Teilnehmenden sind die Zivilgerichte zuständig (Art. 62 Abs. 4 EnG). Gerichtsstand ist [Ort des Netzanschlusspunkts].</w:t>
      </w:r>
    </w:p>
    <w:p>
      <w:pPr>
        <w:tabs>
          <w:tab w:val="left" w:pos="425"/>
        </w:tabs>
        <w:spacing w:after="60"/>
        <w:ind w:left="425" w:hanging="425"/>
      </w:pPr>
      <w:r>
        <w:t xml:space="preserve">3.	</w:t>
      </w:r>
      <w:r>
        <w:t xml:space="preserve">Streitigkeiten mit dem Verteilnetzbetreiber über die Umsetzung des vZEV, die Messung oder das Netznutzungsentgelt beurteilt die ElCom (Art. 62 Abs. 3 EnG).</w:t>
      </w:r>
    </w:p>
    <w:p>
      <w:pPr>
        <w:pStyle w:val="Heading2"/>
      </w:pPr>
      <w:r>
        <w:t xml:space="preserve">21. Schlussbestimmungen</w:t>
      </w:r>
    </w:p>
    <w:p>
      <w:pPr>
        <w:tabs>
          <w:tab w:val="left" w:pos="425"/>
        </w:tabs>
        <w:spacing w:after="60"/>
        <w:ind w:left="425" w:hanging="425"/>
      </w:pPr>
      <w:r>
        <w:t xml:space="preserve">1.	</w:t>
      </w:r>
      <w:r>
        <w:t xml:space="preserve">Änderungen dieses Vertrags bedürfen der Schriftform und der Zustimmung aller Teilnehmenden. Teil D wird von der Geschäftsführung nachgeführt; Änderungen werden den Teilnehmenden zugestellt.</w:t>
      </w:r>
    </w:p>
    <w:p>
      <w:pPr>
        <w:tabs>
          <w:tab w:val="left" w:pos="425"/>
        </w:tabs>
        <w:spacing w:after="60"/>
        <w:ind w:left="425" w:hanging="425"/>
      </w:pPr>
      <w:r>
        <w:t xml:space="preserve">2.	</w:t>
      </w:r>
      <w:r>
        <w:t xml:space="preserve">Ist eine Bestimmung unwirksam, gilt eine wirksame Bestimmung, die ihrem Zweck am nächsten kommt.</w:t>
      </w:r>
    </w:p>
    <w:p>
      <w:pPr>
        <w:tabs>
          <w:tab w:val="left" w:pos="425"/>
        </w:tabs>
        <w:spacing w:after="60"/>
        <w:ind w:left="425" w:hanging="425"/>
      </w:pPr>
      <w:r>
        <w:t xml:space="preserve">3.	</w:t>
      </w:r>
      <w:r>
        <w:t xml:space="preserve">Es gilt schweizerisches Recht.</w:t>
      </w:r>
    </w:p>
    <w:p>
      <w:pPr>
        <w:spacing w:after="120"/>
      </w:pPr>
      <w:r>
        <w:t xml:space="preserve">[Ort], [Datum]</w:t>
      </w:r>
    </w:p>
    <w:p>
      <w:pPr>
        <w:spacing w:after="120"/>
      </w:pPr>
      <w:r>
        <w:t xml:space="preserve">Unterschriften aller Teilnehmenden gemäss Teil D</w:t>
      </w:r>
    </w:p>
    <w:p>
      <w:pPr>
        <w:pStyle w:val="Heading1"/>
        <w:pageBreakBefore/>
      </w:pPr>
      <w:r>
        <w:t xml:space="preserve">Teil B – Zusatz zum Mietvertrag: Teilnahme am vZEV «[Name]»</w:t>
      </w:r>
    </w:p>
    <w:p>
      <w:pPr>
        <w:spacing w:after="120"/>
      </w:pPr>
      <w:r>
        <w:t xml:space="preserve">zwischen </w:t>
      </w:r>
      <w:r>
        <w:rPr>
          <w:b/>
          <w:bCs/>
        </w:rPr>
        <w:t xml:space="preserve">[Vermieterin]</w:t>
      </w:r>
      <w:r>
        <w:t xml:space="preserve"> («Vermieterin») und </w:t>
      </w:r>
      <w:r>
        <w:rPr>
          <w:b/>
          <w:bCs/>
        </w:rPr>
        <w:t xml:space="preserve">[Mietpartei]</w:t>
      </w:r>
      <w:r>
        <w:t xml:space="preserve"> («Mietpartei»), Mietobjekt [Adresse, Objekt]</w:t>
      </w:r>
    </w:p>
    <w:p>
      <w:pPr>
        <w:pBdr>
          <w:left w:val="single" w:color="0F5C4A" w:sz="18" w:space="6"/>
        </w:pBdr>
        <w:shd w:fill="EEF3F1" w:color="auto" w:val="clear"/>
        <w:spacing w:after="120" w:before="60"/>
        <w:ind w:left="120" w:right="120"/>
      </w:pPr>
      <w:r>
        <w:rPr>
          <w:b/>
          <w:bCs/>
          <w:color w:val="44546A"/>
          <w:sz w:val="19"/>
          <w:szCs w:val="19"/>
        </w:rPr>
        <w:t xml:space="preserve">Erläuterung zu Teil B:</w:t>
      </w:r>
      <w:r>
        <w:rPr>
          <w:color w:val="44546A"/>
          <w:sz w:val="19"/>
          <w:szCs w:val="19"/>
        </w:rPr>
        <w:t xml:space="preserve"> Die Vermieterin ist Teilnehmerin des vZEV nach Teil A. Ihre Mietparteien nehmen über sie teil. Gegenüber den Mietparteien gelten dieselben mietrechtlichen Regeln wie in einem klassischen ZEV. Dieser Zusatz enthält die Kernpunkte; für ausführliche Regelungen, die Unterlagen zur Einführung in bestehenden Mietverhältnissen und das Berechnungsbeispiel der Pauschale siehe das Muster «ZEV in Mietverhältnissen» (Teile A bis C).</w:t>
      </w:r>
    </w:p>
    <w:p>
      <w:pPr>
        <w:pStyle w:val="Heading2"/>
      </w:pPr>
      <w:r>
        <w:t xml:space="preserve">1. Gegenstand</w:t>
      </w:r>
    </w:p>
    <w:p>
      <w:pPr>
        <w:tabs>
          <w:tab w:val="left" w:pos="425"/>
        </w:tabs>
        <w:spacing w:after="60"/>
        <w:ind w:left="425" w:hanging="425"/>
      </w:pPr>
      <w:r>
        <w:t xml:space="preserve">1.	</w:t>
      </w:r>
      <w:r>
        <w:t xml:space="preserve">Die Vermieterin ist Teilnehmerin des virtuellen Zusammenschlusses zum Eigenverbrauch «[Name]» (Art. 17 EnG). Die Mietpartei nimmt als Endverbraucherin über die Vermieterin teil und bezieht ihre Elektrizität von der Vermieterin.</w:t>
      </w:r>
    </w:p>
    <w:p>
      <w:pPr>
        <w:tabs>
          <w:tab w:val="left" w:pos="425"/>
        </w:tabs>
        <w:spacing w:after="60"/>
        <w:ind w:left="425" w:hanging="425"/>
      </w:pPr>
      <w:r>
        <w:t xml:space="preserve">2.	</w:t>
      </w:r>
      <w:r>
        <w:t xml:space="preserve">Gegenüber dem Verteilnetzbetreiber gilt der vZEV als ein Endverbraucher. Die Mietpartei ist während der Teilnahme nicht Kundin des Verteilnetzbetreibers.</w:t>
      </w:r>
    </w:p>
    <w:p>
      <w:pPr>
        <w:pStyle w:val="Heading2"/>
      </w:pPr>
      <w:r>
        <w:t xml:space="preserve">2. Versorgung und Vertretung</w:t>
      </w:r>
    </w:p>
    <w:p>
      <w:pPr>
        <w:tabs>
          <w:tab w:val="left" w:pos="425"/>
        </w:tabs>
        <w:spacing w:after="60"/>
        <w:ind w:left="425" w:hanging="425"/>
      </w:pPr>
      <w:r>
        <w:t xml:space="preserve">1.	</w:t>
      </w:r>
      <w:r>
        <w:t xml:space="preserve">Die Vermieterin stellt sicher, dass die Mietpartei jederzeit die gewünschte Menge Elektrizität in der erforderlichen Qualität erhält (Art. 17 Abs. 2 EnG).</w:t>
      </w:r>
    </w:p>
    <w:p>
      <w:pPr>
        <w:tabs>
          <w:tab w:val="left" w:pos="425"/>
        </w:tabs>
        <w:spacing w:after="60"/>
        <w:ind w:left="425" w:hanging="425"/>
      </w:pPr>
      <w:r>
        <w:t xml:space="preserve">2.	</w:t>
      </w:r>
      <w:r>
        <w:t xml:space="preserve">Der vZEV wird gegen aussen durch [Geschäftsführung nach Teil A Ziff. 6] vertreten. Ansprechpartnerin der Mietpartei bleibt die Vermieterin.</w:t>
      </w:r>
    </w:p>
    <w:p>
      <w:pPr>
        <w:pStyle w:val="Heading2"/>
      </w:pPr>
      <w:r>
        <w:t xml:space="preserve">3. Kosten und Preise</w:t>
      </w:r>
    </w:p>
    <w:p>
      <w:pPr>
        <w:tabs>
          <w:tab w:val="left" w:pos="425"/>
        </w:tabs>
        <w:spacing w:after="60"/>
        <w:ind w:left="425" w:hanging="425"/>
      </w:pPr>
      <w:r>
        <w:t xml:space="preserve">1.	</w:t>
      </w:r>
      <w:r>
        <w:t xml:space="preserve">Die Mietpartei bezahlt für die externe Elektrizität die effektiven Kosten, die nach Teil A Ziff. 9 auf sie entfallen, verbrauchsabhängig und ohne Zuschlag.</w:t>
      </w:r>
    </w:p>
    <w:p>
      <w:pPr>
        <w:tabs>
          <w:tab w:val="left" w:pos="425"/>
        </w:tabs>
        <w:spacing w:after="60"/>
        <w:ind w:left="425" w:hanging="425"/>
      </w:pPr>
      <w:r>
        <w:t xml:space="preserve">2.	</w:t>
      </w:r>
      <w:r>
        <w:t xml:space="preserve">Für die interne Elektrizität einschliesslich der Kosten für interne Messung, Datenbereitstellung, Verwaltung und Abrechnung bezahlt die Mietpartei </w:t>
      </w:r>
      <w:r>
        <w:rPr>
          <w:b/>
          <w:bCs/>
        </w:rPr>
        <w:t xml:space="preserve">[VARIANTE A – Pauschale:]</w:t>
      </w:r>
      <w:r>
        <w:t xml:space="preserve"> höchstens [●] % (höchstens 80 %) des Betrags, den sie für dieselbe Strommenge beim Bezug des externen Standardstromprodukts des Verteilnetzbetreibers bezahlen müsste </w:t>
      </w:r>
      <w:r>
        <w:rPr>
          <w:b/>
          <w:bCs/>
        </w:rPr>
        <w:t xml:space="preserve">[VARIANTE B – effektive Kosten:]</w:t>
      </w:r>
      <w:r>
        <w:t xml:space="preserve"> die anteiligen effektiven Kosten nach Art. 16a EnV, höchstens den Preis des externen Standardstromprodukts.</w:t>
      </w:r>
    </w:p>
    <w:p>
      <w:pPr>
        <w:tabs>
          <w:tab w:val="left" w:pos="425"/>
        </w:tabs>
        <w:spacing w:after="60"/>
        <w:ind w:left="425" w:hanging="425"/>
      </w:pPr>
      <w:r>
        <w:t xml:space="preserve">3.	</w:t>
      </w:r>
      <w:r>
        <w:t xml:space="preserve">Weitere Kosten für den vZEV dürfen der Mietpartei nicht belastet werden, insbesondere keine Gründungskosten des vZEV und keine Grund- oder Verwaltungsgebühren über die Beträge nach Abs. 1 und 2 hinaus.</w:t>
      </w:r>
    </w:p>
    <w:p>
      <w:pPr>
        <w:pStyle w:val="Heading2"/>
      </w:pPr>
      <w:r>
        <w:t xml:space="preserve">4. Messung, Daten und Abrechnung</w:t>
      </w:r>
    </w:p>
    <w:p>
      <w:pPr>
        <w:tabs>
          <w:tab w:val="left" w:pos="425"/>
        </w:tabs>
        <w:spacing w:after="60"/>
        <w:ind w:left="425" w:hanging="425"/>
      </w:pPr>
      <w:r>
        <w:t xml:space="preserve">1.	</w:t>
      </w:r>
      <w:r>
        <w:t xml:space="preserve">Der Verbrauch der Mietpartei wird mit einem Zähler gemessen, der Viertelstundenwerte erfasst. Die Daten werden für die Abrechnung an die Geschäftsführung des vZEV weitergegeben und nach Teil A Ziff. 19 behandelt.</w:t>
      </w:r>
    </w:p>
    <w:p>
      <w:pPr>
        <w:tabs>
          <w:tab w:val="left" w:pos="425"/>
        </w:tabs>
        <w:spacing w:after="60"/>
        <w:ind w:left="425" w:hanging="425"/>
      </w:pPr>
      <w:r>
        <w:t xml:space="preserve">2.	</w:t>
      </w:r>
      <w:r>
        <w:t xml:space="preserve">Die Kosten nach Ziff. 3 sind Nebenkosten (Art. 257a OR). Die Mietpartei leistet monatliche Akontozahlungen von Fr. [●]. Die Vermieterin rechnet jährlich ab und weist dabei mindestens die interne und die externe Elektrizität, die Preise pro kWh und den Referenzbetrag aus.</w:t>
      </w:r>
    </w:p>
    <w:p>
      <w:pPr>
        <w:pStyle w:val="Heading2"/>
      </w:pPr>
      <w:r>
        <w:t xml:space="preserve">5. Stromprodukt und Marktzugang</w:t>
      </w:r>
    </w:p>
    <w:p>
      <w:pPr>
        <w:spacing w:after="120"/>
      </w:pPr>
      <w:r>
        <w:t xml:space="preserve">Die Vermieterin informiert die Mietpartei über das extern bezogene Stromprodukt und dessen Preis für jedes Kalenderjahr sowie mindestens [sechs] Monate im Voraus über einen geplanten Wechsel des vZEV in den freien Markt. Eine Rückkehr in die Grundversorgung ist nach einem Wechsel nicht mehr möglich.</w:t>
      </w:r>
    </w:p>
    <w:p>
      <w:pPr>
        <w:pStyle w:val="Heading2"/>
      </w:pPr>
      <w:r>
        <w:t xml:space="preserve">6. Beendigung der Teilnahme</w:t>
      </w:r>
    </w:p>
    <w:p>
      <w:pPr>
        <w:tabs>
          <w:tab w:val="left" w:pos="425"/>
        </w:tabs>
        <w:spacing w:after="60"/>
        <w:ind w:left="425" w:hanging="425"/>
      </w:pPr>
      <w:r>
        <w:t xml:space="preserve">1.	</w:t>
      </w:r>
      <w:r>
        <w:t xml:space="preserve">Die Teilnahme endet mit dem Ende des Mietverhältnisses oder mit dem Austritt der Vermieterin aus dem vZEV oder dessen Auflösung. In diesen Fällen sorgt die Vermieterin auf eigene Kosten dafür, dass die Mietpartei wieder Kundin des Verteilnetzbetreibers werden kann.</w:t>
      </w:r>
    </w:p>
    <w:p>
      <w:pPr>
        <w:tabs>
          <w:tab w:val="left" w:pos="425"/>
        </w:tabs>
        <w:spacing w:after="60"/>
        <w:ind w:left="425" w:hanging="425"/>
      </w:pPr>
      <w:r>
        <w:t xml:space="preserve">2.	</w:t>
      </w:r>
      <w:r>
        <w:t xml:space="preserve">Während des Mietverhältnisses kann die Mietpartei ihre Teilnahme nur beenden, wenn sie Anspruch auf Netzzugang hat und diesen beanspruchen will oder wenn die Vermieterin die Versorgung nach Ziff. 2 nicht gewährleistet oder die Vorgaben nach Ziff. 3 nicht einhält. Die Beendigung ist schriftlich, mit Begründung und mindestens drei Monate im Voraus mitzuteilen.</w:t>
      </w:r>
    </w:p>
    <w:p>
      <w:pPr>
        <w:pStyle w:val="Heading2"/>
      </w:pPr>
      <w:r>
        <w:t xml:space="preserve">7. Einführung in bestehenden Mietverhältnissen</w:t>
      </w:r>
    </w:p>
    <w:p>
      <w:pPr>
        <w:spacing w:after="120"/>
      </w:pPr>
      <w:r>
        <w:rPr>
          <w:b/>
          <w:bCs/>
        </w:rPr>
        <w:t xml:space="preserve">[Nur bei bestehenden Mietverhältnissen:]</w:t>
      </w:r>
      <w:r>
        <w:t xml:space="preserve"> Die Mietpartei hat die Teilnahme am vZEV mit der Erklärung vom [Datum] angenommen. Die Einführung erfolgte mit dem amtlichen Formular vom [Datum] (Art. 269d OR). Lehnt eine Mietpartei die Teilnahme ab, bleibt sie Kundin des Verteilnetzbetreibers.</w:t>
      </w:r>
    </w:p>
    <w:p>
      <w:pPr>
        <w:spacing w:after="120"/>
      </w:pPr>
      <w:r>
        <w:t xml:space="preserve">[Ort], [Datum]</w:t>
      </w:r>
    </w:p>
    <w:p>
      <w:pPr>
        <w:spacing w:after="120"/>
      </w:pPr>
      <w:r>
        <w:t xml:space="preserve">Vermieterin: ______________________________</w:t>
      </w:r>
    </w:p>
    <w:p>
      <w:pPr>
        <w:spacing w:after="120"/>
      </w:pPr>
      <w:r>
        <w:t xml:space="preserve">Mietpartei: ______________________________</w:t>
      </w:r>
    </w:p>
    <w:p>
      <w:pPr>
        <w:pStyle w:val="Heading1"/>
        <w:pageBreakBefore/>
      </w:pPr>
      <w:r>
        <w:t xml:space="preserve">Teil C – Abrechnungsmodell und Berechnungsbeispiel</w:t>
      </w:r>
    </w:p>
    <w:p>
      <w:pPr>
        <w:pStyle w:val="Heading2"/>
      </w:pPr>
      <w:r>
        <w:t xml:space="preserve">1. Grundsätze</w:t>
      </w:r>
    </w:p>
    <w:p>
      <w:pPr>
        <w:tabs>
          <w:tab w:val="left" w:pos="425"/>
        </w:tabs>
        <w:spacing w:after="60"/>
        <w:ind w:left="425" w:hanging="425"/>
      </w:pPr>
      <w:r>
        <w:t xml:space="preserve">1.	</w:t>
      </w:r>
      <w:r>
        <w:t xml:space="preserve">Grundlage sind die Viertelstundenwerte aller Messpunkte des vZEV (Verbrauch der teilnehmenden Endverbraucher, Produktion der Anlagen, Speicher).</w:t>
      </w:r>
    </w:p>
    <w:p>
      <w:pPr>
        <w:tabs>
          <w:tab w:val="left" w:pos="425"/>
        </w:tabs>
        <w:spacing w:after="60"/>
        <w:ind w:left="425" w:hanging="425"/>
      </w:pPr>
      <w:r>
        <w:t xml:space="preserve">2.	</w:t>
      </w:r>
      <w:r>
        <w:t xml:space="preserve">Je Viertelstunde gilt:</w:t>
      </w:r>
    </w:p>
    <w:p>
      <w:pPr>
        <w:spacing w:after="120"/>
        <w:ind w:left="425"/>
      </w:pPr>
      <w:r>
        <w:t xml:space="preserve">a. </w:t>
      </w:r>
      <w:r>
        <w:rPr>
          <w:b/>
          <w:bCs/>
        </w:rPr>
        <w:t xml:space="preserve">Interne Elektrizität</w:t>
      </w:r>
      <w:r>
        <w:t xml:space="preserve"> = das Kleinere von Gesamtproduktion und Gesamtverbrauch des vZEV;</w:t>
      </w:r>
    </w:p>
    <w:p>
      <w:pPr>
        <w:spacing w:after="120"/>
        <w:ind w:left="425"/>
      </w:pPr>
      <w:r>
        <w:t xml:space="preserve">b. jedem teilnehmenden Endverbraucher wird interne Elektrizität im Verhältnis seines Verbrauchs zugeteilt, der Rest seines Verbrauchs ist externe Elektrizität;</w:t>
      </w:r>
    </w:p>
    <w:p>
      <w:pPr>
        <w:spacing w:after="120"/>
        <w:ind w:left="425"/>
      </w:pPr>
      <w:r>
        <w:t xml:space="preserve">c. jeder Anlage wird interne Elektrizität im Verhältnis ihrer Produktion gutgeschrieben, der Rest ihrer Produktion ist Überschuss.</w:t>
      </w:r>
    </w:p>
    <w:p>
      <w:pPr>
        <w:tabs>
          <w:tab w:val="left" w:pos="425"/>
        </w:tabs>
        <w:spacing w:after="60"/>
        <w:ind w:left="425" w:hanging="425"/>
      </w:pPr>
      <w:r>
        <w:t xml:space="preserve">3.	</w:t>
      </w:r>
      <w:r>
        <w:t xml:space="preserve">Die Viertelstundenwerte werden für die Abrechnungsperiode summiert.</w:t>
      </w:r>
    </w:p>
    <w:p>
      <w:pPr>
        <w:pStyle w:val="Heading2"/>
      </w:pPr>
      <w:r>
        <w:t xml:space="preserve">2. Berechnungsbeispiel für ein Jahr (Zahlen frei gewählt)</w:t>
      </w:r>
    </w:p>
    <w:p>
      <w:pPr>
        <w:spacing w:after="120"/>
      </w:pPr>
      <w:r>
        <w:t xml:space="preserve">Drei Einfamilienhäuser A, B und C an derselben Verteilkabine. A hat eine Anlage von 15 kWp, C eine von 8 kWp, B keine Anlage, aber eine Wärmepumpe.</w:t>
      </w:r>
    </w:p>
    <w:p>
      <w:pPr>
        <w:spacing w:after="120"/>
      </w:pPr>
      <w:r>
        <w:rPr>
          <w:b/>
          <w:bCs/>
        </w:rPr>
        <w:t xml:space="preserve">Jahreswerte aus der Viertelstundenrechnung (kWh)</w:t>
      </w:r>
    </w:p>
    <w:tbl>
      <w:tblPr>
        <w:tblW w:type="dxa" w:w="9023"/>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tblHeader/>
        </w:trPr>
        <w:tc>
          <w:tcPr>
            <w:tcW w:type="dxa" w:w="1289"/>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Teilnehmende</w:t>
            </w:r>
          </w:p>
        </w:tc>
        <w:tc>
          <w:tcPr>
            <w:tcW w:type="dxa" w:w="1289"/>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Produktion</w:t>
            </w:r>
          </w:p>
        </w:tc>
        <w:tc>
          <w:tcPr>
            <w:tcW w:type="dxa" w:w="1289"/>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Verbrauch</w:t>
            </w:r>
          </w:p>
        </w:tc>
        <w:tc>
          <w:tcPr>
            <w:tcW w:type="dxa" w:w="1289"/>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davon intern</w:t>
            </w:r>
          </w:p>
        </w:tc>
        <w:tc>
          <w:tcPr>
            <w:tcW w:type="dxa" w:w="1289"/>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davon extern</w:t>
            </w:r>
          </w:p>
        </w:tc>
        <w:tc>
          <w:tcPr>
            <w:tcW w:type="dxa" w:w="1289"/>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Gutschrift intern</w:t>
            </w:r>
          </w:p>
        </w:tc>
        <w:tc>
          <w:tcPr>
            <w:tcW w:type="dxa" w:w="1289"/>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Überschuss</w:t>
            </w:r>
          </w:p>
        </w:tc>
      </w:tr>
      <w:tr>
        <w:trPr>
          <w:tblHeader w:val="off"/>
        </w:trPr>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A</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15 000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5 000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3 500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1 500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5 900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9 100</w:t>
            </w:r>
          </w:p>
        </w:tc>
      </w:tr>
      <w:tr>
        <w:trPr>
          <w:tblHeader w:val="off"/>
        </w:trPr>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B</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8 000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3 000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5 000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0</w:t>
            </w:r>
          </w:p>
        </w:tc>
      </w:tr>
      <w:tr>
        <w:trPr>
          <w:tblHeader w:val="off"/>
        </w:trPr>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C</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8 000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4 500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2 500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2 000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3 100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4 900</w:t>
            </w:r>
          </w:p>
        </w:tc>
      </w:tr>
      <w:tr>
        <w:trPr>
          <w:tblHeader w:val="off"/>
        </w:trPr>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bCs/>
                <w:sz w:val="19"/>
                <w:szCs w:val="19"/>
              </w:rPr>
              <w:t xml:space="preserve">vZEV</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bCs/>
                <w:sz w:val="19"/>
                <w:szCs w:val="19"/>
              </w:rPr>
              <w:t xml:space="preserve">23 000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bCs/>
                <w:sz w:val="19"/>
                <w:szCs w:val="19"/>
              </w:rPr>
              <w:t xml:space="preserve">17 500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bCs/>
                <w:sz w:val="19"/>
                <w:szCs w:val="19"/>
              </w:rPr>
              <w:t xml:space="preserve">9 000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bCs/>
                <w:sz w:val="19"/>
                <w:szCs w:val="19"/>
              </w:rPr>
              <w:t xml:space="preserve">8 500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bCs/>
                <w:sz w:val="19"/>
                <w:szCs w:val="19"/>
              </w:rPr>
              <w:t xml:space="preserve">9 000</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bCs/>
                <w:sz w:val="19"/>
                <w:szCs w:val="19"/>
              </w:rPr>
              <w:t xml:space="preserve">14 000</w:t>
            </w:r>
          </w:p>
        </w:tc>
      </w:tr>
    </w:tbl>
    <w:p/>
    <w:p>
      <w:pPr>
        <w:spacing w:after="120"/>
      </w:pPr>
      <w:r>
        <w:rPr>
          <w:b/>
          <w:bCs/>
        </w:rPr>
        <w:t xml:space="preserve">Interner Preis</w:t>
      </w:r>
      <w:r>
        <w:t xml:space="preserve"> (Variante A): 18 Rp./kWh</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Teilnehmende</w:t>
            </w:r>
          </w:p>
        </w:tc>
        <w:tc>
          <w:tcPr>
            <w:tcW w:type="dxa" w:w="225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bezahlt für interne Elektrizität</w:t>
            </w:r>
          </w:p>
        </w:tc>
        <w:tc>
          <w:tcPr>
            <w:tcW w:type="dxa" w:w="225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erhält für Gutschrift</w:t>
            </w:r>
          </w:p>
        </w:tc>
        <w:tc>
          <w:tcPr>
            <w:tcW w:type="dxa" w:w="2256"/>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Saldo intern</w:t>
            </w:r>
          </w:p>
        </w:tc>
      </w:tr>
      <w:tr>
        <w:trPr>
          <w:tblHeader w:val="off"/>
        </w:trPr>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A</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630</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1 062</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 Fr. 432</w:t>
            </w:r>
          </w:p>
        </w:tc>
      </w:tr>
      <w:tr>
        <w:trPr>
          <w:tblHeader w:val="off"/>
        </w:trPr>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B</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540</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 Fr. 540</w:t>
            </w:r>
          </w:p>
        </w:tc>
      </w:tr>
      <w:tr>
        <w:trPr>
          <w:tblHeader w:val="off"/>
        </w:trPr>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C</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450</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558</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 Fr. 108</w:t>
            </w:r>
          </w:p>
        </w:tc>
      </w:tr>
      <w:tr>
        <w:trPr>
          <w:tblHeader w:val="off"/>
        </w:trPr>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bCs/>
                <w:sz w:val="19"/>
                <w:szCs w:val="19"/>
              </w:rPr>
              <w:t xml:space="preserve">Summe</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bCs/>
                <w:sz w:val="19"/>
                <w:szCs w:val="19"/>
              </w:rPr>
              <w:t xml:space="preserve">Fr. 1 620</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bCs/>
                <w:sz w:val="19"/>
                <w:szCs w:val="19"/>
              </w:rPr>
              <w:t xml:space="preserve">Fr. 1 620</w:t>
            </w:r>
          </w:p>
        </w:tc>
        <w:tc>
          <w:tcPr>
            <w:tcW w:type="dxa" w:w="2256"/>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bCs/>
                <w:sz w:val="19"/>
                <w:szCs w:val="19"/>
              </w:rPr>
              <w:t xml:space="preserve">Fr. 0</w:t>
            </w:r>
          </w:p>
        </w:tc>
      </w:tr>
    </w:tbl>
    <w:p/>
    <w:p>
      <w:pPr>
        <w:spacing w:after="120"/>
      </w:pPr>
      <w:r>
        <w:rPr>
          <w:b/>
          <w:bCs/>
        </w:rPr>
        <w:t xml:space="preserve">Rechnung des Verteilnetzbetreibers an den vZEV</w:t>
      </w:r>
      <w:r>
        <w:t xml:space="preserve"> (angenommen: Arbeitspreis total 30 Rp./kWh, Grundpreis Fr. 240 pro Jahr, Messentgelt Fr. 60 pro Messpunkt)</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Teilnehmende</w:t>
            </w:r>
          </w:p>
        </w:tc>
        <w:tc>
          <w:tcPr>
            <w:tcW w:type="dxa" w:w="1805"/>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Arbeitspreis</w:t>
            </w:r>
          </w:p>
        </w:tc>
        <w:tc>
          <w:tcPr>
            <w:tcW w:type="dxa" w:w="1805"/>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Grundpreis (zu gleichen Teilen)</w:t>
            </w:r>
          </w:p>
        </w:tc>
        <w:tc>
          <w:tcPr>
            <w:tcW w:type="dxa" w:w="1805"/>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Messentgelt (eigener Messpunkt)</w:t>
            </w:r>
          </w:p>
        </w:tc>
        <w:tc>
          <w:tcPr>
            <w:tcW w:type="dxa" w:w="1805"/>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Total extern</w:t>
            </w:r>
          </w:p>
        </w:tc>
      </w:tr>
      <w:tr>
        <w:trPr>
          <w:tblHeader w:val="off"/>
        </w:trPr>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A</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450</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80</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60</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590</w:t>
            </w:r>
          </w:p>
        </w:tc>
      </w:tr>
      <w:tr>
        <w:trPr>
          <w:tblHeader w:val="off"/>
        </w:trPr>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B</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1 500</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80</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60</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1 640</w:t>
            </w:r>
          </w:p>
        </w:tc>
      </w:tr>
      <w:tr>
        <w:trPr>
          <w:tblHeader w:val="off"/>
        </w:trPr>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C</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600</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80</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60</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Fr. 740</w:t>
            </w:r>
          </w:p>
        </w:tc>
      </w:tr>
      <w:tr>
        <w:trPr>
          <w:tblHeader w:val="off"/>
        </w:trPr>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bCs/>
                <w:sz w:val="19"/>
                <w:szCs w:val="19"/>
              </w:rPr>
              <w:t xml:space="preserve">vZEV</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bCs/>
                <w:sz w:val="19"/>
                <w:szCs w:val="19"/>
              </w:rPr>
              <w:t xml:space="preserve">Fr. 2 550</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bCs/>
                <w:sz w:val="19"/>
                <w:szCs w:val="19"/>
              </w:rPr>
              <w:t xml:space="preserve">Fr. 240</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bCs/>
                <w:sz w:val="19"/>
                <w:szCs w:val="19"/>
              </w:rPr>
              <w:t xml:space="preserve">Fr. 180</w:t>
            </w:r>
          </w:p>
        </w:tc>
        <w:tc>
          <w:tcPr>
            <w:tcW w:type="dxa" w:w="1805"/>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bCs/>
                <w:sz w:val="19"/>
                <w:szCs w:val="19"/>
              </w:rPr>
              <w:t xml:space="preserve">Fr. 2 970</w:t>
            </w:r>
          </w:p>
        </w:tc>
      </w:tr>
    </w:tbl>
    <w:p/>
    <w:p>
      <w:pPr>
        <w:spacing w:after="120"/>
      </w:pPr>
      <w:r>
        <w:t xml:space="preserve">Die Rückliefervergütung für den Überschuss (A: 9 100 kWh, C: 4 900 kWh) rechnen A und C nach Variante A von Teil A Ziff. 10 direkt mit dem Verteilnetzbetreiber ab.</w:t>
      </w:r>
    </w:p>
    <w:p>
      <w:pPr>
        <w:pBdr>
          <w:left w:val="single" w:color="0F5C4A" w:sz="18" w:space="6"/>
        </w:pBdr>
        <w:shd w:fill="EEF3F1" w:color="auto" w:val="clear"/>
        <w:spacing w:after="120" w:before="60"/>
        <w:ind w:left="120" w:right="120"/>
      </w:pPr>
      <w:r>
        <w:rPr>
          <w:b/>
          <w:bCs/>
          <w:color w:val="44546A"/>
          <w:sz w:val="19"/>
          <w:szCs w:val="19"/>
        </w:rPr>
        <w:t xml:space="preserve">Erläuterung zum Beispiel:</w:t>
      </w:r>
      <w:r>
        <w:rPr>
          <w:color w:val="44546A"/>
          <w:sz w:val="19"/>
          <w:szCs w:val="19"/>
        </w:rPr>
        <w:t xml:space="preserve"> B bezahlt für 3 000 kWh statt 30 Rp. nur 18 Rp. und spart so Fr. 360; zudem entfällt für jede teilnehmende Person ein Teil des Grundpreises. A und C erhalten für 9 000 kWh 18 Rp. statt der Rückliefervergütung. Ob der vZEV insgesamt günstiger ist, hängt stark vom Tarif des Netzbetreibers für den vZEV ab, insbesondere von einem allfälligen Leistungspreis.</w:t>
      </w:r>
    </w:p>
    <w:p>
      <w:pPr>
        <w:pStyle w:val="Heading2"/>
      </w:pPr>
      <w:r>
        <w:t xml:space="preserve">3. Aufteilung des Überschusses am virtuellen Messpunkt</w:t>
      </w:r>
    </w:p>
    <w:p>
      <w:pPr>
        <w:spacing w:after="120"/>
      </w:pPr>
      <w:r>
        <w:t xml:space="preserve">Für die Meldung an den Verteilnetzbetreiber und die Herkunftsnachweise wird der Überschuss </w:t>
      </w:r>
      <w:r>
        <w:rPr>
          <w:b/>
          <w:bCs/>
        </w:rPr>
        <w:t xml:space="preserve">[VARIANTE A:]</w:t>
      </w:r>
      <w:r>
        <w:t xml:space="preserve"> nach Ziff. 1 Abs. 2 Bst. c (zeitgleiche Produktion) </w:t>
      </w:r>
      <w:r>
        <w:rPr>
          <w:b/>
          <w:bCs/>
        </w:rPr>
        <w:t xml:space="preserve">[VARIANTE B:]</w:t>
      </w:r>
      <w:r>
        <w:t xml:space="preserve"> im Verhältnis der Anlagenleistung </w:t>
      </w:r>
      <w:r>
        <w:rPr>
          <w:b/>
          <w:bCs/>
        </w:rPr>
        <w:t xml:space="preserve">[VARIANTE C:]</w:t>
      </w:r>
      <w:r>
        <w:t xml:space="preserve"> im Verhältnis der gemessenen Nettoproduktion auf die Anlagen aufgeteilt.</w:t>
      </w:r>
    </w:p>
    <w:p>
      <w:pPr>
        <w:pStyle w:val="Heading2"/>
      </w:pPr>
      <w:r>
        <w:t xml:space="preserve">4. Mindestinhalt der Abrechnung</w:t>
      </w:r>
    </w:p>
    <w:p>
      <w:pPr>
        <w:spacing w:after="120"/>
      </w:pPr>
      <w:r>
        <w:t xml:space="preserve">Die Abrechnung weist für jede teilnehmende Person mindestens aus: Verbrauch, aufgeteilt in interne und externe Elektrizität; Produktion, Gutschrift und Überschuss ihrer Anlagen; den internen Preis; die Anteile an Arbeitspreis, Grundpreis, Leistungspreis und Messentgelten; die gemeinsamen Kosten; Akontozahlungen und Saldo; die Summen des vZEV.</w:t>
      </w:r>
    </w:p>
    <w:p>
      <w:pPr>
        <w:pStyle w:val="Heading1"/>
        <w:pageBreakBefore/>
      </w:pPr>
      <w:r>
        <w:t xml:space="preserve">Teil D – Stammdatenblatt</w:t>
      </w:r>
    </w:p>
    <w:p>
      <w:pPr>
        <w:spacing w:after="120"/>
      </w:pPr>
      <w:r>
        <w:rPr>
          <w:b/>
          <w:bCs/>
        </w:rPr>
        <w:t xml:space="preserve">vZEV:</w:t>
      </w:r>
      <w:r>
        <w:t xml:space="preserve"> [Name] · </w:t>
      </w:r>
      <w:r>
        <w:rPr>
          <w:b/>
          <w:bCs/>
        </w:rPr>
        <w:t xml:space="preserve">Netzanschlusspunkt:</w:t>
      </w:r>
      <w:r>
        <w:t xml:space="preserve"> [Verteilkabine/Trafostation Nr., Netzbetreiber] · </w:t>
      </w:r>
      <w:r>
        <w:rPr>
          <w:b/>
          <w:bCs/>
        </w:rPr>
        <w:t xml:space="preserve">Gründung:</w:t>
      </w:r>
      <w:r>
        <w:t xml:space="preserve"> [Datum] · </w:t>
      </w:r>
      <w:r>
        <w:rPr>
          <w:b/>
          <w:bCs/>
        </w:rPr>
        <w:t xml:space="preserve">Geschäftsführung:</w:t>
      </w:r>
      <w:r>
        <w:t xml:space="preserve"> [Name, Kontakt]</w:t>
      </w:r>
    </w:p>
    <w:p>
      <w:pPr>
        <w:spacing w:after="120"/>
      </w:pPr>
      <w:r>
        <w:rPr>
          <w:b/>
          <w:bCs/>
        </w:rPr>
        <w:t xml:space="preserve">Teilnehmende</w:t>
      </w:r>
    </w:p>
    <w:tbl>
      <w:tblPr>
        <w:tblW w:type="dxa" w:w="9023"/>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tblHeader/>
        </w:trPr>
        <w:tc>
          <w:tcPr>
            <w:tcW w:type="dxa" w:w="1289"/>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Nr.</w:t>
            </w:r>
          </w:p>
        </w:tc>
        <w:tc>
          <w:tcPr>
            <w:tcW w:type="dxa" w:w="1289"/>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Grundeigentümerin / Grundeigentümer</w:t>
            </w:r>
          </w:p>
        </w:tc>
        <w:tc>
          <w:tcPr>
            <w:tcW w:type="dxa" w:w="1289"/>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Grundstück Nr.</w:t>
            </w:r>
          </w:p>
        </w:tc>
        <w:tc>
          <w:tcPr>
            <w:tcW w:type="dxa" w:w="1289"/>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Adresse</w:t>
            </w:r>
          </w:p>
        </w:tc>
        <w:tc>
          <w:tcPr>
            <w:tcW w:type="dxa" w:w="1289"/>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Messpunkt-ID(s)</w:t>
            </w:r>
          </w:p>
        </w:tc>
        <w:tc>
          <w:tcPr>
            <w:tcW w:type="dxa" w:w="1289"/>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Anschlussleistung</w:t>
            </w:r>
          </w:p>
        </w:tc>
        <w:tc>
          <w:tcPr>
            <w:tcW w:type="dxa" w:w="1289"/>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Teilnehmende Mietparteien</w:t>
            </w:r>
          </w:p>
        </w:tc>
      </w:tr>
      <w:tr>
        <w:trPr>
          <w:tblHeader w:val="off"/>
        </w:trPr>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 kVA</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[keine / Anzahl]</w:t>
            </w:r>
          </w:p>
        </w:tc>
      </w:tr>
      <w:tr>
        <w:trPr>
          <w:tblHeader w:val="off"/>
        </w:trPr>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2</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 kVA</w:t>
            </w:r>
          </w:p>
        </w:tc>
        <w:tc>
          <w:tcPr>
            <w:tcW w:type="dxa" w:w="1289"/>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r>
    </w:tbl>
    <w:p/>
    <w:p>
      <w:pPr>
        <w:spacing w:after="120"/>
      </w:pPr>
      <w:r>
        <w:rPr>
          <w:b/>
          <w:bCs/>
        </w:rPr>
        <w:t xml:space="preserve">Anlagen und Speicher</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tblHeader/>
        </w:trPr>
        <w:tc>
          <w:tcPr>
            <w:tcW w:type="dxa" w:w="112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Nr.</w:t>
            </w:r>
          </w:p>
        </w:tc>
        <w:tc>
          <w:tcPr>
            <w:tcW w:type="dxa" w:w="112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Betreiberin / Betreiber</w:t>
            </w:r>
          </w:p>
        </w:tc>
        <w:tc>
          <w:tcPr>
            <w:tcW w:type="dxa" w:w="112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Standort</w:t>
            </w:r>
          </w:p>
        </w:tc>
        <w:tc>
          <w:tcPr>
            <w:tcW w:type="dxa" w:w="112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Typ</w:t>
            </w:r>
          </w:p>
        </w:tc>
        <w:tc>
          <w:tcPr>
            <w:tcW w:type="dxa" w:w="112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Leistung</w:t>
            </w:r>
          </w:p>
        </w:tc>
        <w:tc>
          <w:tcPr>
            <w:tcW w:type="dxa" w:w="112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Messpunkt-ID</w:t>
            </w:r>
          </w:p>
        </w:tc>
        <w:tc>
          <w:tcPr>
            <w:tcW w:type="dxa" w:w="112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Förderung</w:t>
            </w:r>
          </w:p>
        </w:tc>
        <w:tc>
          <w:tcPr>
            <w:tcW w:type="dxa" w:w="112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Eigentum (bei gemeinsamer Anlage: Quoten)</w:t>
            </w:r>
          </w:p>
        </w:tc>
      </w:tr>
      <w:tr>
        <w:trPr>
          <w:tblHeader w:val="off"/>
        </w:trPr>
        <w:tc>
          <w:tcPr>
            <w:tcW w:type="dxa" w:w="112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1</w:t>
            </w:r>
          </w:p>
        </w:tc>
        <w:tc>
          <w:tcPr>
            <w:tcW w:type="dxa" w:w="112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12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12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PV</w:t>
            </w:r>
          </w:p>
        </w:tc>
        <w:tc>
          <w:tcPr>
            <w:tcW w:type="dxa" w:w="112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 kWp</w:t>
            </w:r>
          </w:p>
        </w:tc>
        <w:tc>
          <w:tcPr>
            <w:tcW w:type="dxa" w:w="112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c>
          <w:tcPr>
            <w:tcW w:type="dxa" w:w="112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[EIV / keine]</w:t>
            </w:r>
          </w:p>
        </w:tc>
        <w:tc>
          <w:tcPr>
            <w:tcW w:type="dxa" w:w="112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w:t>
            </w:r>
          </w:p>
        </w:tc>
      </w:tr>
    </w:tbl>
    <w:p/>
    <w:p>
      <w:pPr>
        <w:spacing w:after="120"/>
      </w:pPr>
      <w:r>
        <w:rPr>
          <w:b/>
          <w:bCs/>
        </w:rPr>
        <w:t xml:space="preserve">Prüfung der Mindestgrösse:</w:t>
      </w:r>
      <w:r>
        <w:t xml:space="preserve"> Summe Produktionsleistung [●] kW ÷ Summe Anschlussleistung [●] kVA = [●] % (mindestens 10 %)</w:t>
      </w:r>
    </w:p>
    <w:p>
      <w:pPr>
        <w:spacing w:after="120"/>
      </w:pPr>
      <w:r>
        <w:rPr>
          <w:b/>
          <w:bCs/>
        </w:rPr>
        <w:t xml:space="preserve">Messkonzept:</w:t>
      </w:r>
      <w:r>
        <w:t xml:space="preserve"> [VNB-Zähler bei allen / Privatzähler hinter Messpunkt ●] · </w:t>
      </w:r>
      <w:r>
        <w:rPr>
          <w:b/>
          <w:bCs/>
        </w:rPr>
        <w:t xml:space="preserve">Stromprodukt:</w:t>
      </w:r>
      <w:r>
        <w:t xml:space="preserve"> [●] · </w:t>
      </w:r>
      <w:r>
        <w:rPr>
          <w:b/>
          <w:bCs/>
        </w:rPr>
        <w:t xml:space="preserve">Interner Preis:</w:t>
      </w:r>
      <w:r>
        <w:t xml:space="preserve"> [●] · </w:t>
      </w:r>
      <w:r>
        <w:rPr>
          <w:b/>
          <w:bCs/>
        </w:rPr>
        <w:t xml:space="preserve">Verteilschlüssel Grundpreis und gemeinsame Kosten:</w:t>
      </w:r>
      <w:r>
        <w:t xml:space="preserve"> [●]</w:t>
      </w:r>
    </w:p>
    <w:p>
      <w:pPr>
        <w:pStyle w:val="Heading1"/>
        <w:pageBreakBefore/>
      </w:pPr>
      <w:r>
        <w:t xml:space="preserve">Teil E – Vorlagen</w:t>
      </w:r>
    </w:p>
    <w:p>
      <w:pPr>
        <w:pStyle w:val="Heading2"/>
      </w:pPr>
      <w:r>
        <w:t xml:space="preserve">1. Beitrittserklärung</w:t>
      </w:r>
    </w:p>
    <w:p>
      <w:pPr>
        <w:spacing w:after="120"/>
      </w:pPr>
      <w:r>
        <w:t xml:space="preserve">Die unterzeichnende Grundeigentümerin / der unterzeichnende Grundeigentümer [Name, Grundstück Nr., Adresse] tritt dem vZEV «[Name]» auf den [Datum] bei und anerkennt den Gesellschaftsvertrag (Teil A) in der Fassung vom [Datum]. Sie / er ermächtigt die Geschäftsführung, die Messdaten ihrer / seiner Messpunkte beim Verteilnetzbetreiber zu beziehen und den Beitritt zu melden.</w:t>
      </w:r>
    </w:p>
    <w:p>
      <w:pPr>
        <w:spacing w:after="120"/>
      </w:pPr>
      <w:r>
        <w:t xml:space="preserve">[Ort, Datum, Unterschrift] · Zustimmung der bisherigen Teilnehmenden: [Datum des Beschlusses]</w:t>
      </w:r>
    </w:p>
    <w:p>
      <w:pPr>
        <w:pStyle w:val="Heading2"/>
      </w:pPr>
      <w:r>
        <w:t xml:space="preserve">2. Meldung an den Verteilnetzbetreiber (Art. 18 Abs. 1 EnV)</w:t>
      </w:r>
    </w:p>
    <w:p>
      <w:pPr>
        <w:spacing w:after="120"/>
      </w:pPr>
      <w:r>
        <w:t xml:space="preserve">An: [Verteilnetzbetreiber]</w:t>
      </w:r>
    </w:p>
    <w:p>
      <w:pPr>
        <w:spacing w:after="120"/>
      </w:pPr>
      <w:r>
        <w:t xml:space="preserve">Betreff: Bildung eines Zusammenschlusses zum Eigenverbrauch unter Nutzung der Anschlussleitungen (vZEV) per [Datum]</w:t>
      </w:r>
    </w:p>
    <w:p>
      <w:pPr>
        <w:spacing w:after="120"/>
      </w:pPr>
      <w:r>
        <w:t xml:space="preserve">Die unterzeichnenden Grundeigentümerinnen und Grundeigentümer bilden per [Datum, mindestens drei Monate nach dieser Meldung] einen Zusammenschluss zum Eigenverbrauch nach Art. 17 EnG unter Nutzung der Anschlussleitungen und der lokalen elektrischen Infrastruktur beim Netzanschlusspunkt [●] (Art. 14 Abs. 3 EnV). Wir melden:</w:t>
      </w:r>
    </w:p>
    <w:p>
      <w:pPr>
        <w:pStyle w:val="ListParagraph"/>
        <w:numPr>
          <w:ilvl w:val="0"/>
          <w:numId w:val="2"/>
        </w:numPr>
        <w:spacing w:after="60"/>
      </w:pPr>
      <w:r>
        <w:t xml:space="preserve">die teilnehmenden Grundeigentümerinnen und Grundeigentümer und ihre Messpunkte (Beilage: Teil D);</w:t>
      </w:r>
    </w:p>
    <w:p>
      <w:pPr>
        <w:pStyle w:val="ListParagraph"/>
        <w:numPr>
          <w:ilvl w:val="0"/>
          <w:numId w:val="2"/>
        </w:numPr>
        <w:spacing w:after="60"/>
      </w:pPr>
      <w:r>
        <w:t xml:space="preserve">die teilnehmenden Mietparteien und Pächterinnen mit Name und Adresse (Beilage);</w:t>
      </w:r>
    </w:p>
    <w:p>
      <w:pPr>
        <w:pStyle w:val="ListParagraph"/>
        <w:numPr>
          <w:ilvl w:val="0"/>
          <w:numId w:val="2"/>
        </w:numPr>
        <w:spacing w:after="60"/>
      </w:pPr>
      <w:r>
        <w:t xml:space="preserve">die Anlagen und Speicher mit Leistung und Verwendungsart (Beilage: Teil D);</w:t>
      </w:r>
    </w:p>
    <w:p>
      <w:pPr>
        <w:pStyle w:val="ListParagraph"/>
        <w:numPr>
          <w:ilvl w:val="0"/>
          <w:numId w:val="2"/>
        </w:numPr>
        <w:spacing w:after="60"/>
      </w:pPr>
      <w:r>
        <w:t xml:space="preserve">die Vertretung des Zusammenschlusses: [Geschäftsführung, Kontakt, Rechnungsadresse];</w:t>
      </w:r>
    </w:p>
    <w:p>
      <w:pPr>
        <w:pStyle w:val="ListParagraph"/>
        <w:numPr>
          <w:ilvl w:val="0"/>
          <w:numId w:val="2"/>
        </w:numPr>
        <w:spacing w:after="60"/>
      </w:pPr>
      <w:r>
        <w:t xml:space="preserve">das gewünschte Messkonzept: [VNB-Zähler bei allen Teilnehmenden mit intelligenten Messsystemen / Privatzähler hinter dem Messpunkt ●];</w:t>
      </w:r>
    </w:p>
    <w:p>
      <w:pPr>
        <w:pStyle w:val="ListParagraph"/>
        <w:numPr>
          <w:ilvl w:val="0"/>
          <w:numId w:val="2"/>
        </w:numPr>
        <w:spacing w:after="60"/>
      </w:pPr>
      <w:r>
        <w:t xml:space="preserve">die Versorgung: [Grundversorgung, Produkt ●];</w:t>
      </w:r>
    </w:p>
    <w:p>
      <w:pPr>
        <w:pStyle w:val="ListParagraph"/>
        <w:numPr>
          <w:ilvl w:val="0"/>
          <w:numId w:val="2"/>
        </w:numPr>
        <w:spacing w:after="60"/>
      </w:pPr>
      <w:r>
        <w:t xml:space="preserve">die Abwicklung der Rückliefervergütung: [direkt mit den einzelnen Produzierenden / über den Zusammenschluss].</w:t>
      </w:r>
    </w:p>
    <w:p>
      <w:pPr>
        <w:spacing w:after="120"/>
      </w:pPr>
      <w:r>
        <w:t xml:space="preserve">Wir ersuchen um Bestätigung der Umsetzung und um unentgeltliche Bereitstellung der Lastgangdaten der Messpunkte für die interne Abrechnung (Art. 18 Abs. 7 EnV).</w:t>
      </w:r>
    </w:p>
    <w:p>
      <w:pPr>
        <w:spacing w:after="120"/>
      </w:pPr>
      <w:r>
        <w:t xml:space="preserve">[Ort, Datum, Unterschriften oder Unterschrift der bevollmächtigten Geschäftsführung mit Vollmacht]</w:t>
      </w:r>
    </w:p>
    <w:p>
      <w:pPr>
        <w:pStyle w:val="Heading2"/>
      </w:pPr>
      <w:r>
        <w:t xml:space="preserve">Offene Fragen – Rückmeldungen erwünscht</w:t>
      </w:r>
    </w:p>
    <w:p>
      <w:pPr>
        <w:tabs>
          <w:tab w:val="left" w:pos="425"/>
        </w:tabs>
        <w:spacing w:after="60"/>
        <w:ind w:left="425" w:hanging="425"/>
      </w:pPr>
      <w:r>
        <w:t xml:space="preserve">1.	</w:t>
      </w:r>
      <w:r>
        <w:rPr>
          <w:b/>
          <w:bCs/>
        </w:rPr>
        <w:t xml:space="preserve">Pool oder Vorrang des eigenen Verbrauchs.</w:t>
      </w:r>
      <w:r>
        <w:t xml:space="preserve"> Das Muster verteilt die interne Elektrizität auf alle gleichmässig. Ist es in der Praxis üblicher, dass Produzierende zuerst ihren eigenen Verbrauch decken und nur den Rest in den Pool geben? Wie wirkt sich das auf die Mietpreisgrenzen aus?</w:t>
      </w:r>
    </w:p>
    <w:p>
      <w:pPr>
        <w:tabs>
          <w:tab w:val="left" w:pos="425"/>
        </w:tabs>
        <w:spacing w:after="60"/>
        <w:ind w:left="425" w:hanging="425"/>
      </w:pPr>
      <w:r>
        <w:t xml:space="preserve">2.	</w:t>
      </w:r>
      <w:r>
        <w:rPr>
          <w:b/>
          <w:bCs/>
        </w:rPr>
        <w:t xml:space="preserve">Rückliefervergütung.</w:t>
      </w:r>
      <w:r>
        <w:t xml:space="preserve"> Setzen die Netzbetreiber in der Praxis die direkte Abrechnung mit den einzelnen Produzierenden um, wie es das Fachsekretariat der ElCom vertritt, oder die Abrechnung mit dem Zusammenschluss nach HER-CH 2025?</w:t>
      </w:r>
    </w:p>
    <w:p>
      <w:pPr>
        <w:tabs>
          <w:tab w:val="left" w:pos="425"/>
        </w:tabs>
        <w:spacing w:after="60"/>
        <w:ind w:left="425" w:hanging="425"/>
      </w:pPr>
      <w:r>
        <w:t xml:space="preserve">3.	</w:t>
      </w:r>
      <w:r>
        <w:rPr>
          <w:b/>
          <w:bCs/>
        </w:rPr>
        <w:t xml:space="preserve">Solidarhaftung.</w:t>
      </w:r>
      <w:r>
        <w:t xml:space="preserve"> Akzeptieren Netzbetreiber eine einfache Gesellschaft als Rechnungsempfängerin, und verlangen sie Sicherheiten? Ist für grössere vZEV ein Verein oder eine Genossenschaft vorzuziehen?</w:t>
      </w:r>
    </w:p>
    <w:p>
      <w:pPr>
        <w:tabs>
          <w:tab w:val="left" w:pos="425"/>
        </w:tabs>
        <w:spacing w:after="60"/>
        <w:ind w:left="425" w:hanging="425"/>
      </w:pPr>
      <w:r>
        <w:t xml:space="preserve">4.	</w:t>
      </w:r>
      <w:r>
        <w:rPr>
          <w:b/>
          <w:bCs/>
        </w:rPr>
        <w:t xml:space="preserve">Leistungstarife.</w:t>
      </w:r>
      <w:r>
        <w:t xml:space="preserve"> Welche Tarife wenden Netzbetreiber auf vZEV an, und welcher Verteilschlüssel für Leistungspreise hat sich bewährt?</w:t>
      </w:r>
    </w:p>
    <w:p>
      <w:pPr>
        <w:tabs>
          <w:tab w:val="left" w:pos="425"/>
        </w:tabs>
        <w:spacing w:after="60"/>
        <w:ind w:left="425" w:hanging="425"/>
      </w:pPr>
      <w:r>
        <w:t xml:space="preserve">5.	</w:t>
      </w:r>
      <w:r>
        <w:rPr>
          <w:b/>
          <w:bCs/>
        </w:rPr>
        <w:t xml:space="preserve">Mietverhältnisse.</w:t>
      </w:r>
      <w:r>
        <w:t xml:space="preserve"> Wie ist die Pauschale von höchstens 80 % anzuwenden, wenn die interne Elektrizität einer Mietpartei aus Anlagen anderer Grundeigentümerinnen stammt?</w:t>
      </w:r>
    </w:p>
    <w:p>
      <w:pPr>
        <w:tabs>
          <w:tab w:val="left" w:pos="425"/>
        </w:tabs>
        <w:spacing w:after="60"/>
        <w:ind w:left="425" w:hanging="425"/>
      </w:pPr>
      <w:r>
        <w:t xml:space="preserve">6.	</w:t>
      </w:r>
      <w:r>
        <w:rPr>
          <w:b/>
          <w:bCs/>
        </w:rPr>
        <w:t xml:space="preserve">Stockwerkeigentum.</w:t>
      </w:r>
      <w:r>
        <w:t xml:space="preserve"> Welche Beschlüsse der Stockwerkeigentümergemeinschaft sind für die Teilnahme an einem vZEV nötig, und wer ist Teilnehmerin – die Gemeinschaft oder die einzelnen Eigentümerinnen?</w:t>
      </w:r>
    </w:p>
    <w:p>
      <w:pPr>
        <w:tabs>
          <w:tab w:val="left" w:pos="425"/>
        </w:tabs>
        <w:spacing w:after="60"/>
        <w:ind w:left="425" w:hanging="425"/>
      </w:pPr>
      <w:r>
        <w:t xml:space="preserve">7.	</w:t>
      </w:r>
      <w:r>
        <w:rPr>
          <w:b/>
          <w:bCs/>
        </w:rPr>
        <w:t xml:space="preserve">Steuern.</w:t>
      </w:r>
      <w:r>
        <w:t xml:space="preserve"> Wie werden interne Stromverkäufe unter Nachbarn bei der Mehrwertsteuer und den Einkommenssteuern behandelt?</w:t>
      </w:r>
    </w:p>
    <w:p>
      <w:pPr>
        <w:tabs>
          <w:tab w:val="left" w:pos="425"/>
        </w:tabs>
        <w:spacing w:after="60"/>
        <w:ind w:left="425" w:hanging="425"/>
      </w:pPr>
      <w:r>
        <w:t xml:space="preserve">8.	</w:t>
      </w:r>
      <w:r>
        <w:rPr>
          <w:b/>
          <w:bCs/>
        </w:rPr>
        <w:t xml:space="preserve">Fortsetzungsklausel.</w:t>
      </w:r>
      <w:r>
        <w:t xml:space="preserve"> Trägt die Fortsetzung der einfachen Gesellschaft unter den übrigen Teilnehmenden bei Tod oder Konkurs (Teil A Ziff. 17 Abs. 4), oder braucht es dafür eine andere Konstruktion?</w:t>
      </w:r>
    </w:p>
    <w:p>
      <w:pPr>
        <w:tabs>
          <w:tab w:val="left" w:pos="425"/>
        </w:tabs>
        <w:spacing w:after="60"/>
        <w:ind w:left="425" w:hanging="425"/>
      </w:pPr>
      <w:r>
        <w:t xml:space="preserve">9.	</w:t>
      </w:r>
      <w:r>
        <w:rPr>
          <w:b/>
          <w:bCs/>
        </w:rPr>
        <w:t xml:space="preserve">Austrittsfristen.</w:t>
      </w:r>
      <w:r>
        <w:t xml:space="preserve"> Sind sechs Monate auf Ende Jahr angemessen, oder braucht es wegen der Investitionen in Anlagen eine Mindestdauer?</w:t>
      </w:r>
    </w:p>
    <w:p>
      <w:pPr>
        <w:pStyle w:val="Heading2"/>
      </w:pPr>
      <w:r>
        <w:t xml:space="preserve">Anhang – Quellen</w:t>
      </w:r>
    </w:p>
    <w:p>
      <w:pPr>
        <w:pStyle w:val="ListParagraph"/>
        <w:numPr>
          <w:ilvl w:val="0"/>
          <w:numId w:val="2"/>
        </w:numPr>
        <w:spacing w:after="60"/>
      </w:pPr>
      <w:r>
        <w:t xml:space="preserve">Energiegesetz (EnG), SR 730.0, Art. 15–18 und 62</w:t>
      </w:r>
    </w:p>
    <w:p>
      <w:pPr>
        <w:pStyle w:val="ListParagraph"/>
        <w:numPr>
          <w:ilvl w:val="0"/>
          <w:numId w:val="2"/>
        </w:numPr>
        <w:spacing w:after="60"/>
      </w:pPr>
      <w:r>
        <w:t xml:space="preserve">Energieverordnung (EnV), SR 730.01, Art. 12–18</w:t>
      </w:r>
    </w:p>
    <w:p>
      <w:pPr>
        <w:pStyle w:val="ListParagraph"/>
        <w:numPr>
          <w:ilvl w:val="0"/>
          <w:numId w:val="2"/>
        </w:numPr>
        <w:spacing w:after="60"/>
      </w:pPr>
      <w:r>
        <w:t xml:space="preserve">Stromversorgungsgesetz (StromVG), SR 734.7, Art. 14, 17a, 17abis</w:t>
      </w:r>
    </w:p>
    <w:p>
      <w:pPr>
        <w:pStyle w:val="ListParagraph"/>
        <w:numPr>
          <w:ilvl w:val="0"/>
          <w:numId w:val="2"/>
        </w:numPr>
        <w:spacing w:after="60"/>
      </w:pPr>
      <w:r>
        <w:t xml:space="preserve">Stromversorgungsverordnung (StromVV), SR 734.71, Art. 8asexies</w:t>
      </w:r>
    </w:p>
    <w:p>
      <w:pPr>
        <w:pStyle w:val="ListParagraph"/>
        <w:numPr>
          <w:ilvl w:val="0"/>
          <w:numId w:val="2"/>
        </w:numPr>
        <w:spacing w:after="60"/>
      </w:pPr>
      <w:r>
        <w:t xml:space="preserve">Obligationenrecht (OR), Art. 257a, 257b, 269d, 530–551</w:t>
      </w:r>
    </w:p>
    <w:p>
      <w:pPr>
        <w:pStyle w:val="ListParagraph"/>
        <w:numPr>
          <w:ilvl w:val="0"/>
          <w:numId w:val="2"/>
        </w:numPr>
        <w:spacing w:after="60"/>
      </w:pPr>
      <w:r>
        <w:t xml:space="preserve">Fachsekretariat ElCom, Fragen und Antworten zur Energiestrategie 2050, Update vom 16. Juni 2026, insbesondere Fragen 1.9, 2.1, 2.3, 2.5, 2.6, 2.9–2.13, 2.16, 2.18, 2.21–2.24</w:t>
      </w:r>
    </w:p>
    <w:p>
      <w:pPr>
        <w:pStyle w:val="ListParagraph"/>
        <w:numPr>
          <w:ilvl w:val="0"/>
          <w:numId w:val="2"/>
        </w:numPr>
        <w:spacing w:after="60"/>
      </w:pPr>
      <w:r>
        <w:t xml:space="preserve">VSE, Handbuch Eigenverbrauchsregelung (HER-CH 2025)</w:t>
      </w:r>
    </w:p>
    <w:p>
      <w:pPr>
        <w:pStyle w:val="ListParagraph"/>
        <w:numPr>
          <w:ilvl w:val="0"/>
          <w:numId w:val="2"/>
        </w:numPr>
        <w:spacing w:after="60"/>
      </w:pPr>
      <w:r>
        <w:t xml:space="preserve">EnergieSchweiz, Leitfaden Eigenverbrauch, Version 3.0 (Mai 2023)</w:t>
      </w:r>
    </w:p>
    <w:p>
      <w:pPr>
        <w:pStyle w:val="Heading2"/>
      </w:pPr>
      <w:r>
        <w:t xml:space="preserve">Änderungsverlauf</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Version</w:t>
            </w:r>
          </w:p>
        </w:tc>
        <w:tc>
          <w:tcPr>
            <w:tcW w:type="dxa" w:w="300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Datum</w:t>
            </w:r>
          </w:p>
        </w:tc>
        <w:tc>
          <w:tcPr>
            <w:tcW w:type="dxa" w:w="3008"/>
            <w:tcBorders>
              <w:top w:val="single" w:color="C9CFCC" w:sz="4"/>
              <w:left w:val="single" w:color="C9CFCC" w:sz="4"/>
              <w:bottom w:val="single" w:color="C9CFCC" w:sz="4"/>
              <w:right w:val="single" w:color="C9CFCC" w:sz="4"/>
            </w:tcBorders>
            <w:shd w:fill="E3F0EA" w:color="auto" w:val="clear"/>
            <w:tcMar>
              <w:top w:type="dxa" w:w="60"/>
              <w:left w:type="dxa" w:w="100"/>
              <w:bottom w:type="dxa" w:w="60"/>
              <w:right w:type="dxa" w:w="100"/>
            </w:tcMar>
          </w:tcPr>
          <w:p>
            <w:r>
              <w:rPr>
                <w:b/>
                <w:bCs/>
                <w:sz w:val="19"/>
                <w:szCs w:val="19"/>
              </w:rPr>
              <w:t xml:space="preserve">Änderung</w:t>
            </w:r>
          </w:p>
        </w:tc>
      </w:tr>
      <w:tr>
        <w:trPr>
          <w:tblHeader w:val="off"/>
        </w:trPr>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0.9</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23. Oktober 2026</w:t>
            </w:r>
          </w:p>
        </w:tc>
        <w:tc>
          <w:tcPr>
            <w:tcW w:type="dxa" w:w="3008"/>
            <w:tcBorders>
              <w:top w:val="single" w:color="C9CFCC" w:sz="4"/>
              <w:left w:val="single" w:color="C9CFCC" w:sz="4"/>
              <w:bottom w:val="single" w:color="C9CFCC" w:sz="4"/>
              <w:right w:val="single" w:color="C9CFCC" w:sz="4"/>
            </w:tcBorders>
            <w:tcMar>
              <w:top w:type="dxa" w:w="60"/>
              <w:left w:type="dxa" w:w="100"/>
              <w:bottom w:type="dxa" w:w="60"/>
              <w:right w:type="dxa" w:w="100"/>
            </w:tcMar>
          </w:tcPr>
          <w:p>
            <w:r>
              <w:rPr>
                <w:b w:val="false"/>
                <w:bCs w:val="false"/>
                <w:sz w:val="19"/>
                <w:szCs w:val="19"/>
              </w:rPr>
              <w:t xml:space="preserve">Entwurf zur Diskussion veröffentlicht</w:t>
            </w:r>
          </w:p>
        </w:tc>
      </w:tr>
    </w:tbl>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Open Energy Archive · CC BY 4.0 · Keine Rechtsberatung · Seite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5" w:hanging="283"/>
      </w:pPr>
    </w:lvl>
    <w:lvl w:ilvl="1" w:tentative="1">
      <w:start w:val="1"/>
      <w:numFmt w:val="bullet"/>
      <w:lvlText w:val="–"/>
      <w:lvlJc w:val="left"/>
      <w:pPr>
        <w:ind w:left="850"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F5C4A"/>
      <w:sz w:val="32"/>
      <w:szCs w:val="32"/>
    </w:rPr>
  </w:style>
  <w:style w:type="paragraph" w:styleId="Heading2">
    <w:name w:val="Heading 2"/>
    <w:basedOn w:val="Normal"/>
    <w:next w:val="Normal"/>
    <w:qFormat/>
    <w:pPr>
      <w:keepNext/>
      <w:spacing w:after="140" w:before="280"/>
      <w:outlineLvl w:val="1"/>
    </w:pPr>
    <w:rPr>
      <w:rFonts w:ascii="Arial" w:cs="Arial" w:eastAsia="Arial" w:hAnsi="Arial"/>
      <w:b/>
      <w:bCs/>
      <w:sz w:val="26"/>
      <w:szCs w:val="26"/>
    </w:rPr>
  </w:style>
  <w:style w:type="paragraph" w:styleId="Heading3">
    <w:name w:val="Heading 3"/>
    <w:basedOn w:val="Normal"/>
    <w:next w:val="Normal"/>
    <w:qFormat/>
    <w:pPr>
      <w:keepNext/>
      <w:spacing w:after="100" w:before="240"/>
      <w:outlineLvl w:val="2"/>
    </w:pPr>
    <w:rPr>
      <w:rFonts w:ascii="Arial" w:cs="Arial" w:eastAsia="Arial" w:hAnsi="Arial"/>
      <w:b/>
      <w:bCs/>
      <w:color w:val="0F5C4A"/>
      <w:sz w:val="22"/>
      <w:szCs w:val="22"/>
    </w:rPr>
  </w:style>
  <w:style w:type="paragraph" w:styleId="Heading4">
    <w:name w:val="Heading 4"/>
    <w:basedOn w:val="Normal"/>
    <w:next w:val="Normal"/>
    <w:qFormat/>
    <w:pPr>
      <w:keepNext/>
      <w:spacing w:after="80" w:before="200"/>
      <w:outlineLvl w:val="3"/>
    </w:pPr>
    <w:rPr>
      <w:rFonts w:ascii="Arial" w:cs="Arial" w:eastAsia="Arial" w:hAnsi="Arial"/>
      <w:b/>
      <w:b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Mustervertrag: Virtueller Zusammenschluss zum Eigenverbrauch (vZEV)</dc:title>
  <dc:creator>Open Energy Archive</dc:creator>
  <dc:description>CC BY 4.0 – Open Energy Archive</dc:description>
  <cp:lastModifiedBy>Un-named</cp:lastModifiedBy>
  <cp:revision>1</cp:revision>
  <dcterms:created xsi:type="dcterms:W3CDTF">2026-10-23T07:39:51.844Z</dcterms:created>
  <dcterms:modified xsi:type="dcterms:W3CDTF">2026-10-23T07:39:51.848Z</dcterms:modified>
</cp:coreProperties>
</file>

<file path=docProps/custom.xml><?xml version="1.0" encoding="utf-8"?>
<Properties xmlns="http://schemas.openxmlformats.org/officeDocument/2006/custom-properties" xmlns:vt="http://schemas.openxmlformats.org/officeDocument/2006/docPropsVTypes"/>
</file>