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Mustervertrag: On-site-PPA für eine Photovoltaikanlage</w:t>
      </w:r>
    </w:p>
    <w:p>
      <w:pPr>
        <w:spacing w:after="120"/>
      </w:pPr>
      <w:r>
        <w:rPr>
          <w:b/>
          <w:bCs/>
        </w:rPr>
        <w:t xml:space="preserve">Stromliefervertrag · Technisches Anlageblatt · Preisblatt mit Berechnungsbeispielen · Eckpunkte der Dienstbarkeit · Übernahmewerte</w:t>
      </w:r>
    </w:p>
    <w:p>
      <w:pPr>
        <w:spacing w:after="120"/>
      </w:pPr>
      <w:r>
        <w:t xml:space="preserve">Ausgerichtet auf Gewerbe- und Industriegebäude: Eine Produzentin (Contractor, Energieversorger oder Investorin) baut und betreibt eine Photovoltaikanlage auf dem Gebäude oder Grundstück der Abnehmerin und verkauft ihr den Strom direkt zum Verbrauch vor Ort, ohne Nutzung des Verteilnetzes. Drei Preismodelle zur Wahl.</w:t>
      </w:r>
    </w:p>
    <w:p>
      <w:pPr>
        <w:spacing w:after="120"/>
      </w:pPr>
      <w:r>
        <w:t xml:space="preserve">Entwurf Version 0.9 zur Diskussion · Stand 15. Oktober 2026 · Schweiz · Lizenz CC BY 4.0 («Open Energy Archive, CC BY 4.0»)</w:t>
      </w:r>
    </w:p>
    <w:p>
      <w:pPr>
        <w:pBdr>
          <w:left w:val="single" w:color="0F5C4A" w:sz="18" w:space="6"/>
        </w:pBdr>
        <w:shd w:fill="EEF3F1" w:color="auto" w:val="clear"/>
        <w:spacing w:after="120" w:before="60"/>
        <w:ind w:left="120" w:right="120"/>
      </w:pPr>
      <w:r>
        <w:rPr>
          <w:b/>
          <w:bCs/>
          <w:color w:val="44546A"/>
          <w:sz w:val="19"/>
          <w:szCs w:val="19"/>
        </w:rPr>
        <w:t xml:space="preserve">Entwurf zur Diskussion – nicht fachlich geprüft.</w:t>
      </w:r>
      <w:r>
        <w:rPr>
          <w:color w:val="44546A"/>
          <w:sz w:val="19"/>
          <w:szCs w:val="19"/>
        </w:rPr>
        <w:t xml:space="preserve"> Dieses Muster wurde noch nicht von einer Fachperson für Energierecht geprüft. Es ist als Entwurf veröffentlicht, um Rückmeldungen aus der Praxis einzuholen – von Solarfirmen, Contractoren, Energieversorgern, Unternehmen, Banken und Fachleuten. Hinweise bitte über GitHub Issues oder über bwlaw.ch. Offene Fragen sind am Schluss aufgeführt.</w:t>
      </w:r>
    </w:p>
    <w:p>
      <w:pPr>
        <w:pBdr>
          <w:left w:val="single" w:color="0F5C4A" w:sz="18" w:space="6"/>
        </w:pBdr>
        <w:shd w:fill="EEF3F1" w:color="auto" w:val="clear"/>
        <w:spacing w:after="120" w:before="60"/>
        <w:ind w:left="120" w:right="120"/>
      </w:pPr>
      <w:r>
        <w:rPr>
          <w:b/>
          <w:bCs/>
          <w:color w:val="44546A"/>
          <w:sz w:val="19"/>
          <w:szCs w:val="19"/>
        </w:rPr>
        <w:t xml:space="preserve">Keine Rechtsberatung.</w:t>
      </w:r>
      <w:r>
        <w:rPr>
          <w:color w:val="44546A"/>
          <w:sz w:val="19"/>
          <w:szCs w:val="19"/>
        </w:rPr>
        <w:t xml:space="preserve"> Dieses Muster ist ein Ausgangspunkt, kein fertiger Vertrag. Es bildet die Rechtslage nach Energiegesetz (EnG), Energieverordnung (EnV), Zivilgesetzbuch (ZGB) und Obligationenrecht (OR) ab, wie sie dem Projekt bekannt ist. Vor der Verwendung an die konkreten Verhältnisse anpassen, mit dem Verteilnetzbetreiber abstimmen und bei Finanzierung, Steuern und Grundbuch Fachberatung beiziehen.</w:t>
      </w:r>
    </w:p>
    <w:p>
      <w:pPr>
        <w:pStyle w:val="Heading2"/>
      </w:pPr>
      <w:r>
        <w:t xml:space="preserve">Gebrauchsanleitung</w:t>
      </w:r>
    </w:p>
    <w:p>
      <w:pPr>
        <w:spacing w:after="120"/>
      </w:pPr>
      <w:r>
        <w:rPr>
          <w:b/>
          <w:bCs/>
        </w:rPr>
        <w:t xml:space="preserve">Wofür dieses Muster gedacht ist.</w:t>
      </w:r>
      <w:r>
        <w:t xml:space="preserve"> Ein Unternehmen möchte Solarstrom vom eigenen Dach nutzen, die Anlage aber nicht selbst finanzieren und betreiben. Eine Produzentin baut die Anlage auf eigene Kosten, bleibt Eigentümerin und verkauft den Strom über eine lange Laufzeit zu einem vereinbarten Preis an die Abnehmerin. Rechtlich ist das Eigenverbrauch: Wer eine Anlage betreibt, darf den Strom auch zum Verbrauch am Ort der Produktion veräussern (Art. 16 Abs. 1 EnG). Den Strom, den die Anlage nicht deckt, bezieht die Abnehmerin wie bisher von ihrem Verteilnetzbetreiber oder Lieferanten; Überschüsse speist die Produzentin ins Netz ein.</w:t>
      </w:r>
    </w:p>
    <w:p>
      <w:pPr>
        <w:spacing w:after="120"/>
      </w:pPr>
      <w:r>
        <w:rPr>
          <w:b/>
          <w:bCs/>
        </w:rPr>
        <w:t xml:space="preserve">Abgrenzung.</w:t>
      </w:r>
    </w:p>
    <w:p>
      <w:pPr>
        <w:pStyle w:val="ListParagraph"/>
        <w:numPr>
          <w:ilvl w:val="0"/>
          <w:numId w:val="2"/>
        </w:numPr>
        <w:spacing w:after="60"/>
      </w:pPr>
      <w:r>
        <w:rPr>
          <w:b/>
          <w:bCs/>
        </w:rPr>
        <w:t xml:space="preserve">Off-site-PPA:</w:t>
      </w:r>
      <w:r>
        <w:t xml:space="preserve"> Liegt die Anlage anderswo und wird der Strom über das Verteilnetz geliefert, braucht es Netzzugang, Bilanzgruppe und meist einen Lieferanten. Das ist ein anderer Vertragstyp und nicht Gegenstand dieses Musters.</w:t>
      </w:r>
    </w:p>
    <w:p>
      <w:pPr>
        <w:pStyle w:val="ListParagraph"/>
        <w:numPr>
          <w:ilvl w:val="0"/>
          <w:numId w:val="2"/>
        </w:numPr>
        <w:spacing w:after="60"/>
      </w:pPr>
      <w:r>
        <w:rPr>
          <w:b/>
          <w:bCs/>
        </w:rPr>
        <w:t xml:space="preserve">ZEV:</w:t>
      </w:r>
      <w:r>
        <w:t xml:space="preserve"> Sind im Gebäude mehrere Endverbraucher (z. B. Mietparteien), die den Strom gemeinsam nutzen sollen, braucht es einen Zusammenschluss zum Eigenverbrauch. Die Produzentin liefert dann an den ZEV bzw. die Grundeigentümerin; siehe das Muster «ZEV in Mietverhältnissen» (Contracting).</w:t>
      </w:r>
    </w:p>
    <w:p>
      <w:pPr>
        <w:pStyle w:val="ListParagraph"/>
        <w:numPr>
          <w:ilvl w:val="0"/>
          <w:numId w:val="2"/>
        </w:numPr>
        <w:spacing w:after="60"/>
      </w:pPr>
      <w:r>
        <w:rPr>
          <w:b/>
          <w:bCs/>
        </w:rPr>
        <w:t xml:space="preserve">Lokale Elektrizitätsgemeinschaft (LEG):</w:t>
      </w:r>
      <w:r>
        <w:t xml:space="preserve"> Bei Nutzung des Verteilnetzes innerhalb einer Gemeinde siehe das Muster «LEG als Verein».</w:t>
      </w:r>
    </w:p>
    <w:p>
      <w:pPr>
        <w:spacing w:after="120"/>
      </w:pPr>
      <w:r>
        <w:rPr>
          <w:b/>
          <w:bCs/>
        </w:rPr>
        <w:t xml:space="preserve">Aufbau.</w:t>
      </w:r>
    </w:p>
    <w:p>
      <w:pPr>
        <w:pStyle w:val="ListParagraph"/>
        <w:numPr>
          <w:ilvl w:val="0"/>
          <w:numId w:val="2"/>
        </w:numPr>
        <w:spacing w:after="60"/>
      </w:pPr>
      <w:r>
        <w:rPr>
          <w:b/>
          <w:bCs/>
        </w:rPr>
        <w:t xml:space="preserve">Teil A – Stromliefervertrag (On-site-PPA)</w:t>
      </w:r>
      <w:r>
        <w:t xml:space="preserve"> mit Bau, Lieferung, Preis, Betrieb, Dachnutzung, Laufzeit, Kaufoption und Rückbau.</w:t>
      </w:r>
    </w:p>
    <w:p>
      <w:pPr>
        <w:pStyle w:val="ListParagraph"/>
        <w:numPr>
          <w:ilvl w:val="0"/>
          <w:numId w:val="2"/>
        </w:numPr>
        <w:spacing w:after="60"/>
      </w:pPr>
      <w:r>
        <w:rPr>
          <w:b/>
          <w:bCs/>
        </w:rPr>
        <w:t xml:space="preserve">Teil B – Technisches Anlageblatt</w:t>
      </w:r>
      <w:r>
        <w:t xml:space="preserve"> mit Standort, Leistung, Messkonzept und erwarteter Produktion.</w:t>
      </w:r>
    </w:p>
    <w:p>
      <w:pPr>
        <w:pStyle w:val="ListParagraph"/>
        <w:numPr>
          <w:ilvl w:val="0"/>
          <w:numId w:val="2"/>
        </w:numPr>
        <w:spacing w:after="60"/>
      </w:pPr>
      <w:r>
        <w:rPr>
          <w:b/>
          <w:bCs/>
        </w:rPr>
        <w:t xml:space="preserve">Teil C – Preisblatt</w:t>
      </w:r>
      <w:r>
        <w:t xml:space="preserve"> mit drei Preismodellen und Berechnungsbeispielen.</w:t>
      </w:r>
    </w:p>
    <w:p>
      <w:pPr>
        <w:pStyle w:val="ListParagraph"/>
        <w:numPr>
          <w:ilvl w:val="0"/>
          <w:numId w:val="2"/>
        </w:numPr>
        <w:spacing w:after="60"/>
      </w:pPr>
      <w:r>
        <w:rPr>
          <w:b/>
          <w:bCs/>
        </w:rPr>
        <w:t xml:space="preserve">Teil D – Eckpunkte der Dienstbarkeit</w:t>
      </w:r>
      <w:r>
        <w:t xml:space="preserve"> als Vorlage für die öffentliche Beurkundung.</w:t>
      </w:r>
    </w:p>
    <w:p>
      <w:pPr>
        <w:pStyle w:val="ListParagraph"/>
        <w:numPr>
          <w:ilvl w:val="0"/>
          <w:numId w:val="2"/>
        </w:numPr>
        <w:spacing w:after="60"/>
      </w:pPr>
      <w:r>
        <w:rPr>
          <w:b/>
          <w:bCs/>
        </w:rPr>
        <w:t xml:space="preserve">Teil E – Übernahmewerte</w:t>
      </w:r>
      <w:r>
        <w:t xml:space="preserve"> für die Kaufoption und die vorzeitige Beendigung.</w:t>
      </w:r>
    </w:p>
    <w:p>
      <w:pPr>
        <w:spacing w:after="120"/>
      </w:pPr>
      <w:r>
        <w:rPr>
          <w:b/>
          <w:bCs/>
        </w:rPr>
        <w:t xml:space="preserve">Platzhalter.</w:t>
      </w:r>
      <w:r>
        <w:t xml:space="preserve"> Eckige Klammern […] sind auszufüllen. Wo mehrere Lösungen möglich sind, steht </w:t>
      </w:r>
      <w:r>
        <w:rPr>
          <w:b/>
          <w:bCs/>
        </w:rPr>
        <w:t xml:space="preserve">[VARIANTE A / B / C]</w:t>
      </w:r>
      <w:r>
        <w:t xml:space="preserve"> – eine wählen und die anderen streichen. </w:t>
      </w:r>
      <w:r>
        <w:rPr>
          <w:b/>
          <w:bCs/>
        </w:rPr>
        <w:t xml:space="preserve">[OPTIONAL]</w:t>
      </w:r>
      <w:r>
        <w:t xml:space="preserve"> markiert Bestimmungen, die weggelassen werden können. Grau hinterlegte </w:t>
      </w:r>
      <w:r>
        <w:rPr>
          <w:b/>
          <w:bCs/>
        </w:rPr>
        <w:t xml:space="preserve">Erläuterungen</w:t>
      </w:r>
      <w:r>
        <w:t xml:space="preserve"> sind vor der Unterzeichnung zu entfernen.</w:t>
      </w:r>
    </w:p>
    <w:p>
      <w:pPr>
        <w:spacing w:after="120"/>
      </w:pPr>
      <w:r>
        <w:rPr>
          <w:b/>
          <w:bCs/>
        </w:rPr>
        <w:t xml:space="preserve">Die wichtigsten Rechtsgrundlagen</w:t>
      </w:r>
    </w:p>
    <w:p>
      <w:pPr>
        <w:pStyle w:val="ListParagraph"/>
        <w:numPr>
          <w:ilvl w:val="0"/>
          <w:numId w:val="2"/>
        </w:numPr>
        <w:spacing w:after="60"/>
      </w:pPr>
      <w:r>
        <w:t xml:space="preserve">Art. 16 EnG (SR 730.0): Eigenverbrauch, einschliesslich Veräusserung zum Verbrauch am Ort der Produktion</w:t>
      </w:r>
    </w:p>
    <w:p>
      <w:pPr>
        <w:pStyle w:val="ListParagraph"/>
        <w:numPr>
          <w:ilvl w:val="0"/>
          <w:numId w:val="2"/>
        </w:numPr>
        <w:spacing w:after="60"/>
      </w:pPr>
      <w:r>
        <w:t xml:space="preserve">Art. 14 und 15 EnV (SR 730.01): Ort der Produktion, Messung</w:t>
      </w:r>
    </w:p>
    <w:p>
      <w:pPr>
        <w:pStyle w:val="ListParagraph"/>
        <w:numPr>
          <w:ilvl w:val="0"/>
          <w:numId w:val="2"/>
        </w:numPr>
        <w:spacing w:after="60"/>
      </w:pPr>
      <w:r>
        <w:t xml:space="preserve">Art. 15 EnG: Abnahme- und Vergütungspflicht des Netzbetreibers für eingespeisten Strom</w:t>
      </w:r>
    </w:p>
    <w:p>
      <w:pPr>
        <w:pStyle w:val="ListParagraph"/>
        <w:numPr>
          <w:ilvl w:val="0"/>
          <w:numId w:val="2"/>
        </w:numPr>
        <w:spacing w:after="60"/>
      </w:pPr>
      <w:r>
        <w:t xml:space="preserve">Art. 9 EnG und Art. 1–4 EnV: Herkunftsnachweise</w:t>
      </w:r>
    </w:p>
    <w:p>
      <w:pPr>
        <w:pStyle w:val="ListParagraph"/>
        <w:numPr>
          <w:ilvl w:val="0"/>
          <w:numId w:val="2"/>
        </w:numPr>
        <w:spacing w:after="60"/>
      </w:pPr>
      <w:r>
        <w:t xml:space="preserve">Energieförderungsverordnung (EnFV, SR 730.03): Einmalvergütung für Photovoltaikanlagen</w:t>
      </w:r>
    </w:p>
    <w:p>
      <w:pPr>
        <w:pStyle w:val="ListParagraph"/>
        <w:numPr>
          <w:ilvl w:val="0"/>
          <w:numId w:val="2"/>
        </w:numPr>
        <w:spacing w:after="60"/>
      </w:pPr>
      <w:r>
        <w:t xml:space="preserve">Art. 642, 667, 675, 730 ff. und 781 ZGB: Bestandteile, Grundeigentum, Dienstbarkeiten (öffentliche Beurkundung nach Art. 732 ZGB)</w:t>
      </w:r>
    </w:p>
    <w:p>
      <w:pPr>
        <w:pStyle w:val="ListParagraph"/>
        <w:numPr>
          <w:ilvl w:val="0"/>
          <w:numId w:val="2"/>
        </w:numPr>
        <w:spacing w:after="60"/>
      </w:pPr>
      <w:r>
        <w:t xml:space="preserve">Obligationenrecht: Kaufvertrag über die Elektrizität (Art. 184 ff. OR), Werkvertrag für den Bau, allgemeiner Teil</w:t>
      </w:r>
    </w:p>
    <w:p>
      <w:pPr>
        <w:pStyle w:val="ListParagraph"/>
        <w:numPr>
          <w:ilvl w:val="0"/>
          <w:numId w:val="2"/>
        </w:numPr>
        <w:spacing w:after="60"/>
      </w:pPr>
      <w:r>
        <w:t xml:space="preserve">Messmittelverordnung (MessMV) und EMmV: Anforderungen an die Abrechnungszähler</w:t>
      </w:r>
    </w:p>
    <w:p>
      <w:pPr>
        <w:pStyle w:val="ListParagraph"/>
        <w:numPr>
          <w:ilvl w:val="0"/>
          <w:numId w:val="2"/>
        </w:numPr>
        <w:spacing w:after="60"/>
      </w:pPr>
      <w:r>
        <w:t xml:space="preserve">Mehrwertsteuergesetz (MWSTG): Stromlieferung ist steuerbar</w:t>
      </w:r>
    </w:p>
    <w:p>
      <w:pPr>
        <w:pBdr>
          <w:left w:val="single" w:color="0F5C4A" w:sz="18" w:space="6"/>
        </w:pBdr>
        <w:shd w:fill="EEF3F1" w:color="auto" w:val="clear"/>
        <w:spacing w:after="120" w:before="60"/>
        <w:ind w:left="120" w:right="120"/>
      </w:pPr>
      <w:r>
        <w:rPr>
          <w:b/>
          <w:bCs/>
          <w:color w:val="44546A"/>
          <w:sz w:val="19"/>
          <w:szCs w:val="19"/>
        </w:rPr>
        <w:t xml:space="preserve">Erläuterung zu den Artikelnummern:</w:t>
      </w:r>
      <w:r>
        <w:rPr>
          <w:color w:val="44546A"/>
          <w:sz w:val="19"/>
          <w:szCs w:val="19"/>
        </w:rPr>
        <w:t xml:space="preserve"> Mit den Verordnungsänderungen zum Mantelerlass (in Kraft seit 1. Januar 2025 und 1. Januar 2026) können sich Nummerierung und einzelne Formulierungen der EnV und EnFV geändert haben. Vor der Verwendung die geltenden Fassungen auf fedlex.admin.ch prüfen und die Verweise anpassen.</w:t>
      </w:r>
    </w:p>
    <w:p>
      <w:pPr>
        <w:spacing w:after="120"/>
      </w:pPr>
      <w:r>
        <w:rPr>
          <w:b/>
          <w:bCs/>
        </w:rPr>
        <w:t xml:space="preserve">Vor dem Abschluss prüfen</w:t>
      </w:r>
    </w:p>
    <w:p>
      <w:pPr>
        <w:tabs>
          <w:tab w:val="left" w:pos="425"/>
        </w:tabs>
        <w:spacing w:after="60"/>
        <w:ind w:left="425" w:hanging="425"/>
      </w:pPr>
      <w:r>
        <w:t xml:space="preserve">1.	</w:t>
      </w:r>
      <w:r>
        <w:rPr>
          <w:b/>
          <w:bCs/>
        </w:rPr>
        <w:t xml:space="preserve">Ort der Produktion.</w:t>
      </w:r>
      <w:r>
        <w:t xml:space="preserve"> Anlage und Verbrauchsstätten müssen am Ort der Produktion liegen, und der Strom darf nicht über das Verteilnetz fliessen. Liegen Anlage und Verbrauch auf verschiedenen Grundstücken, die nötigen Leitungsrechte sichern.</w:t>
      </w:r>
    </w:p>
    <w:p>
      <w:pPr>
        <w:tabs>
          <w:tab w:val="left" w:pos="425"/>
        </w:tabs>
        <w:spacing w:after="60"/>
        <w:ind w:left="425" w:hanging="425"/>
      </w:pPr>
      <w:r>
        <w:t xml:space="preserve">2.	</w:t>
      </w:r>
      <w:r>
        <w:rPr>
          <w:b/>
          <w:bCs/>
        </w:rPr>
        <w:t xml:space="preserve">Eigentum an der Anlage.</w:t>
      </w:r>
      <w:r>
        <w:t xml:space="preserve"> Eine fest mit dem Gebäude verbundene Anlage kann Bestandteil des Gebäudes werden und damit der Grundeigentümerin gehören (Art. 642 und 667 ZGB). Damit die Produzentin Eigentümerin bleibt, wird eine Dienstbarkeit errichtet (Teil D). Ohne Dienstbarkeit ist das Eigentum der Produzentin unsicher – auch für Banken und bei einem Verkauf des Gebäudes.</w:t>
      </w:r>
    </w:p>
    <w:p>
      <w:pPr>
        <w:tabs>
          <w:tab w:val="left" w:pos="425"/>
        </w:tabs>
        <w:spacing w:after="60"/>
        <w:ind w:left="425" w:hanging="425"/>
      </w:pPr>
      <w:r>
        <w:t xml:space="preserve">3.	</w:t>
      </w:r>
      <w:r>
        <w:rPr>
          <w:b/>
          <w:bCs/>
        </w:rPr>
        <w:t xml:space="preserve">Grundeigentümerin ist nicht Abnehmerin.</w:t>
      </w:r>
      <w:r>
        <w:t xml:space="preserve"> Ist die Abnehmerin Mieterin des Gebäudes, braucht es die Zustimmung der Grundeigentümerin und eine Dienstbarkeit zu ihren Lasten. Die Laufzeit des Mietvertrags begrenzt das Risiko der Produzentin nicht – Teil A Ziff. 17 regelt den Wechsel.</w:t>
      </w:r>
    </w:p>
    <w:p>
      <w:pPr>
        <w:tabs>
          <w:tab w:val="left" w:pos="425"/>
        </w:tabs>
        <w:spacing w:after="60"/>
        <w:ind w:left="425" w:hanging="425"/>
      </w:pPr>
      <w:r>
        <w:t xml:space="preserve">4.	</w:t>
      </w:r>
      <w:r>
        <w:rPr>
          <w:b/>
          <w:bCs/>
        </w:rPr>
        <w:t xml:space="preserve">Weitere Verbraucher im Gebäude.</w:t>
      </w:r>
      <w:r>
        <w:t xml:space="preserve"> Nutzen mehrere Endverbraucher den Strom (Mietparteien), liegt ein ZEV vor. Dann gelten zusätzlich die mietrechtlichen Preisvorgaben.</w:t>
      </w:r>
    </w:p>
    <w:p>
      <w:pPr>
        <w:tabs>
          <w:tab w:val="left" w:pos="425"/>
        </w:tabs>
        <w:spacing w:after="60"/>
        <w:ind w:left="425" w:hanging="425"/>
      </w:pPr>
      <w:r>
        <w:t xml:space="preserve">5.	</w:t>
      </w:r>
      <w:r>
        <w:rPr>
          <w:b/>
          <w:bCs/>
        </w:rPr>
        <w:t xml:space="preserve">Netzanschluss und Meldung.</w:t>
      </w:r>
      <w:r>
        <w:t xml:space="preserve"> Die Anlage wird beim Verteilnetzbetreiber angemeldet (Anschlussgesuch, Installationsanzeige, Sicherheitsnachweis). Die Produzentin ist Betreiberin der Anlage; der Verteilnetzbetreiber ist über das Liefermodell zu informieren.</w:t>
      </w:r>
    </w:p>
    <w:p>
      <w:pPr>
        <w:tabs>
          <w:tab w:val="left" w:pos="425"/>
        </w:tabs>
        <w:spacing w:after="60"/>
        <w:ind w:left="425" w:hanging="425"/>
      </w:pPr>
      <w:r>
        <w:t xml:space="preserve">6.	</w:t>
      </w:r>
      <w:r>
        <w:rPr>
          <w:b/>
          <w:bCs/>
        </w:rPr>
        <w:t xml:space="preserve">Statik und Dach.</w:t>
      </w:r>
      <w:r>
        <w:t xml:space="preserve"> Tragfähigkeit, Zustand und Restlebensdauer der Dachhaut prüfen. Eine Dachsanierung kurz vor dem Bau ist meist günstiger als eine Demontage während der Laufzeit.</w:t>
      </w:r>
    </w:p>
    <w:p>
      <w:pPr>
        <w:tabs>
          <w:tab w:val="left" w:pos="425"/>
        </w:tabs>
        <w:spacing w:after="60"/>
        <w:ind w:left="425" w:hanging="425"/>
      </w:pPr>
      <w:r>
        <w:t xml:space="preserve">7.	</w:t>
      </w:r>
      <w:r>
        <w:rPr>
          <w:b/>
          <w:bCs/>
        </w:rPr>
        <w:t xml:space="preserve">Bewilligung.</w:t>
      </w:r>
      <w:r>
        <w:t xml:space="preserve"> Solaranlagen auf Dächern sind in Bau- und Landwirtschaftszonen oft meldepflichtig statt bewilligungspflichtig (Art. 18a RPG); bei Schutzobjekten und Fassadenanlagen gelten andere Regeln.</w:t>
      </w:r>
    </w:p>
    <w:p>
      <w:pPr>
        <w:tabs>
          <w:tab w:val="left" w:pos="425"/>
        </w:tabs>
        <w:spacing w:after="60"/>
        <w:ind w:left="425" w:hanging="425"/>
      </w:pPr>
      <w:r>
        <w:t xml:space="preserve">8.	</w:t>
      </w:r>
      <w:r>
        <w:rPr>
          <w:b/>
          <w:bCs/>
        </w:rPr>
        <w:t xml:space="preserve">Förderung.</w:t>
      </w:r>
      <w:r>
        <w:t xml:space="preserve"> Die Einmalvergütung steht der Betreiberin der Anlage zu, also der Produzentin. Ob und wie sie den Preis senkt, wird im Preisblatt offengelegt.</w:t>
      </w:r>
    </w:p>
    <w:p>
      <w:pPr>
        <w:tabs>
          <w:tab w:val="left" w:pos="425"/>
        </w:tabs>
        <w:spacing w:after="60"/>
        <w:ind w:left="425" w:hanging="425"/>
      </w:pPr>
      <w:r>
        <w:t xml:space="preserve">9.	</w:t>
      </w:r>
      <w:r>
        <w:rPr>
          <w:b/>
          <w:bCs/>
        </w:rPr>
        <w:t xml:space="preserve">Lastprofil.</w:t>
      </w:r>
      <w:r>
        <w:t xml:space="preserve"> Ein PPA lohnt sich, wenn ein grosser Teil der Produktion vor Ort verbraucht wird. Lastgang der Abnehmerin (Viertelstundenwerte, mindestens ein Jahr) vor der Dimensionierung auswerten.</w:t>
      </w:r>
    </w:p>
    <w:p>
      <w:pPr>
        <w:spacing w:after="120"/>
      </w:pPr>
      <w:r>
        <w:rPr>
          <w:b/>
          <w:bCs/>
        </w:rPr>
        <w:t xml:space="preserve">Die drei Preismodelle im Überblick</w:t>
      </w:r>
      <w:r>
        <w:t xml:space="preserve"> (Teil A Ziff. 7, Teil C)</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Modell</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Funktionsweise</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Geeignet für</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 – Fixpreis</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Ein fester Preis pro kWh über die ganze Laufzeit</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Planbarkeit für beide Seiten; Abnehmerin trägt das Risiko sinkender Netzpreise</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 – Indexierter Preis</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Startpreis, jährlich nach Landesindex der Konsumentenpreise oder um einen festen Prozentsatz angepasst</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Lange Laufzeiten; Produzentin ist vor Teuerung bei Betrieb und Unterhalt geschützt</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 – Rabatt auf den Netzpreis mit Floor und Cap</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Preis folgt dem Arbeitspreis des Netzbezugs abzüglich Rabatt, begrenzt durch Unter- und Obergrenze</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Abnehmerin will immer günstiger als der Netzbezug sein; Floor sichert die Finanzierung</w:t>
            </w:r>
          </w:p>
        </w:tc>
      </w:tr>
    </w:tbl>
    <w:p/>
    <w:p>
      <w:pPr>
        <w:pStyle w:val="Heading1"/>
        <w:pageBreakBefore/>
      </w:pPr>
      <w:r>
        <w:t xml:space="preserve">Teil A – Stromliefervertrag (On-site Power Purchase Agreement)</w:t>
      </w:r>
    </w:p>
    <w:p>
      <w:pPr>
        <w:spacing w:after="120"/>
      </w:pPr>
      <w:r>
        <w:t xml:space="preserve">zwischen</w:t>
      </w:r>
    </w:p>
    <w:p>
      <w:pPr>
        <w:spacing w:after="120"/>
      </w:pPr>
      <w:r>
        <w:rPr>
          <w:b/>
          <w:bCs/>
        </w:rPr>
        <w:t xml:space="preserve">[Name der Produzentin]</w:t>
      </w:r>
      <w:r>
        <w:t xml:space="preserve">, [Adresse], [UID] (nachfolgend «Produzentin»)</w:t>
      </w:r>
    </w:p>
    <w:p>
      <w:pPr>
        <w:spacing w:after="120"/>
      </w:pPr>
      <w:r>
        <w:t xml:space="preserve">und</w:t>
      </w:r>
    </w:p>
    <w:p>
      <w:pPr>
        <w:spacing w:after="120"/>
      </w:pPr>
      <w:r>
        <w:rPr>
          <w:b/>
          <w:bCs/>
        </w:rPr>
        <w:t xml:space="preserve">[Name der Abnehmerin]</w:t>
      </w:r>
      <w:r>
        <w:t xml:space="preserve">, [Adresse], [UID] (nachfolgend «Abnehmerin»)</w:t>
      </w:r>
    </w:p>
    <w:p>
      <w:pPr>
        <w:spacing w:after="120"/>
      </w:pPr>
      <w:r>
        <w:rPr>
          <w:b/>
          <w:bCs/>
        </w:rPr>
        <w:t xml:space="preserve">[OPTIONAL – wenn die Grundeigentümerin nicht Abnehmerin ist:]</w:t>
      </w:r>
      <w:r>
        <w:t xml:space="preserve"> sowie, für Ziff. 12, 17 und Teil D, </w:t>
      </w:r>
      <w:r>
        <w:rPr>
          <w:b/>
          <w:bCs/>
        </w:rPr>
        <w:t xml:space="preserve">[Name der Grundeigentümerin]</w:t>
      </w:r>
      <w:r>
        <w:t xml:space="preserve">, [Adresse] (nachfolgend «Grundeigentümerin»)</w:t>
      </w:r>
    </w:p>
    <w:p>
      <w:pPr>
        <w:pStyle w:val="Heading2"/>
      </w:pPr>
      <w:r>
        <w:t xml:space="preserve">1. Gegenstand</w:t>
      </w:r>
    </w:p>
    <w:p>
      <w:pPr>
        <w:tabs>
          <w:tab w:val="left" w:pos="425"/>
        </w:tabs>
        <w:spacing w:after="60"/>
        <w:ind w:left="425" w:hanging="425"/>
      </w:pPr>
      <w:r>
        <w:t xml:space="preserve">1.	</w:t>
      </w:r>
      <w:r>
        <w:t xml:space="preserve">Die Produzentin plant, finanziert, baut und betreibt auf eigene Kosten und Gefahr eine Photovoltaikanlage auf dem Gebäude [Bezeichnung, Adresse], Grundstück Nr. [●], Grundbuch [●] (nachfolgend «Anlage»; Beschreibung in Teil B).</w:t>
      </w:r>
    </w:p>
    <w:p>
      <w:pPr>
        <w:tabs>
          <w:tab w:val="left" w:pos="425"/>
        </w:tabs>
        <w:spacing w:after="60"/>
        <w:ind w:left="425" w:hanging="425"/>
      </w:pPr>
      <w:r>
        <w:t xml:space="preserve">2.	</w:t>
      </w:r>
      <w:r>
        <w:t xml:space="preserve">Die Abnehmerin kauft die von der Anlage erzeugte Elektrizität, soweit sie diese am Ort der Produktion verbraucht, zum Preis nach Ziff. 7 (Eigenverbrauch im Sinne von Art. 16 EnG).</w:t>
      </w:r>
    </w:p>
    <w:p>
      <w:pPr>
        <w:tabs>
          <w:tab w:val="left" w:pos="425"/>
        </w:tabs>
        <w:spacing w:after="60"/>
        <w:ind w:left="425" w:hanging="425"/>
      </w:pPr>
      <w:r>
        <w:t xml:space="preserve">3.	</w:t>
      </w:r>
      <w:r>
        <w:t xml:space="preserve">Die Abnehmerin stellt der Produzentin die für Anlage, Leitungen und Messeinrichtungen nötigen Flächen und Räume zur Verfügung (Ziff. 12).</w:t>
      </w:r>
    </w:p>
    <w:p>
      <w:pPr>
        <w:tabs>
          <w:tab w:val="left" w:pos="425"/>
        </w:tabs>
        <w:spacing w:after="60"/>
        <w:ind w:left="425" w:hanging="425"/>
      </w:pPr>
      <w:r>
        <w:t xml:space="preserve">4.	</w:t>
      </w:r>
      <w:r>
        <w:t xml:space="preserve">Bestandteile dieses Vertrags sind Teil B (Anlageblatt), Teil C (Preisblatt), Teil D (Eckpunkte der Dienstbarkeit) und Teil E (Übernahmewerte).</w:t>
      </w:r>
    </w:p>
    <w:p>
      <w:pPr>
        <w:pStyle w:val="Heading2"/>
      </w:pPr>
      <w:r>
        <w:t xml:space="preserve">2. Begriffe</w:t>
      </w:r>
    </w:p>
    <w:p>
      <w:pPr>
        <w:tabs>
          <w:tab w:val="left" w:pos="425"/>
        </w:tabs>
        <w:spacing w:after="60"/>
        <w:ind w:left="425" w:hanging="425"/>
      </w:pPr>
      <w:r>
        <w:t xml:space="preserve">1.	</w:t>
      </w:r>
      <w:r>
        <w:rPr>
          <w:b/>
          <w:bCs/>
        </w:rPr>
        <w:t xml:space="preserve">Produktion:</w:t>
      </w:r>
      <w:r>
        <w:t xml:space="preserve"> die von der Anlage erzeugte und am Produktionszähler gemessene Elektrizität.</w:t>
      </w:r>
    </w:p>
    <w:p>
      <w:pPr>
        <w:tabs>
          <w:tab w:val="left" w:pos="425"/>
        </w:tabs>
        <w:spacing w:after="60"/>
        <w:ind w:left="425" w:hanging="425"/>
      </w:pPr>
      <w:r>
        <w:t xml:space="preserve">2.	</w:t>
      </w:r>
      <w:r>
        <w:rPr>
          <w:b/>
          <w:bCs/>
        </w:rPr>
        <w:t xml:space="preserve">Gelieferte Elektrizität:</w:t>
      </w:r>
      <w:r>
        <w:t xml:space="preserve"> der Teil der Produktion, den die Abnehmerin in derselben Viertelstunde am Ort der Produktion verbraucht.</w:t>
      </w:r>
    </w:p>
    <w:p>
      <w:pPr>
        <w:tabs>
          <w:tab w:val="left" w:pos="425"/>
        </w:tabs>
        <w:spacing w:after="60"/>
        <w:ind w:left="425" w:hanging="425"/>
      </w:pPr>
      <w:r>
        <w:t xml:space="preserve">3.	</w:t>
      </w:r>
      <w:r>
        <w:rPr>
          <w:b/>
          <w:bCs/>
        </w:rPr>
        <w:t xml:space="preserve">Überschuss:</w:t>
      </w:r>
      <w:r>
        <w:t xml:space="preserve"> der Teil der Produktion, der nicht vor Ort verbraucht und ins Verteilnetz eingespeist wird.</w:t>
      </w:r>
    </w:p>
    <w:p>
      <w:pPr>
        <w:tabs>
          <w:tab w:val="left" w:pos="425"/>
        </w:tabs>
        <w:spacing w:after="60"/>
        <w:ind w:left="425" w:hanging="425"/>
      </w:pPr>
      <w:r>
        <w:t xml:space="preserve">4.	</w:t>
      </w:r>
      <w:r>
        <w:rPr>
          <w:b/>
          <w:bCs/>
        </w:rPr>
        <w:t xml:space="preserve">Restbezug:</w:t>
      </w:r>
      <w:r>
        <w:t xml:space="preserve"> die Elektrizität, welche die Abnehmerin über die Lieferung nach diesem Vertrag hinaus aus dem Verteilnetz bezieht.</w:t>
      </w:r>
    </w:p>
    <w:p>
      <w:pPr>
        <w:tabs>
          <w:tab w:val="left" w:pos="425"/>
        </w:tabs>
        <w:spacing w:after="60"/>
        <w:ind w:left="425" w:hanging="425"/>
      </w:pPr>
      <w:r>
        <w:t xml:space="preserve">5.	</w:t>
      </w:r>
      <w:r>
        <w:rPr>
          <w:b/>
          <w:bCs/>
        </w:rPr>
        <w:t xml:space="preserve">Inbetriebnahme:</w:t>
      </w:r>
      <w:r>
        <w:t xml:space="preserve"> der Tag, an dem die Anlage nach Ziff. 4 Abs. 4 abgenommen ist und Strom liefert.</w:t>
      </w:r>
    </w:p>
    <w:p>
      <w:pPr>
        <w:tabs>
          <w:tab w:val="left" w:pos="425"/>
        </w:tabs>
        <w:spacing w:after="60"/>
        <w:ind w:left="425" w:hanging="425"/>
      </w:pPr>
      <w:r>
        <w:t xml:space="preserve">6.	</w:t>
      </w:r>
      <w:r>
        <w:rPr>
          <w:b/>
          <w:bCs/>
        </w:rPr>
        <w:t xml:space="preserve">Vertragsjahr:</w:t>
      </w:r>
      <w:r>
        <w:t xml:space="preserve"> jeweils zwölf Monate ab dem Ersten des Monats nach der Inbetriebnahme.</w:t>
      </w:r>
    </w:p>
    <w:p>
      <w:pPr>
        <w:pStyle w:val="Heading2"/>
      </w:pPr>
      <w:r>
        <w:t xml:space="preserve">3. Bedingungen</w:t>
      </w:r>
    </w:p>
    <w:p>
      <w:pPr>
        <w:tabs>
          <w:tab w:val="left" w:pos="425"/>
        </w:tabs>
        <w:spacing w:after="60"/>
        <w:ind w:left="425" w:hanging="425"/>
      </w:pPr>
      <w:r>
        <w:t xml:space="preserve">1.	</w:t>
      </w:r>
      <w:r>
        <w:t xml:space="preserve">Die Pflichten zum Bau und zur Lieferung stehen unter den Bedingungen, dass bis [Datum]:</w:t>
      </w:r>
    </w:p>
    <w:p>
      <w:pPr>
        <w:spacing w:after="120"/>
        <w:ind w:left="425"/>
      </w:pPr>
      <w:r>
        <w:t xml:space="preserve">a. die Dienstbarkeit nach Teil D im Grundbuch eingetragen oder zur Eintragung angemeldet ist;</w:t>
      </w:r>
    </w:p>
    <w:p>
      <w:pPr>
        <w:spacing w:after="120"/>
        <w:ind w:left="425"/>
      </w:pPr>
      <w:r>
        <w:t xml:space="preserve">b. die Meldung oder Baubewilligung für die Anlage rechtskräftig vorliegt;</w:t>
      </w:r>
    </w:p>
    <w:p>
      <w:pPr>
        <w:spacing w:after="120"/>
        <w:ind w:left="425"/>
      </w:pPr>
      <w:r>
        <w:t xml:space="preserve">c. der Verteilnetzbetreiber das Anschlussgesuch bewilligt hat, ohne Netzverstärkungen auf Kosten der Produzentin von mehr als Fr. [●] zu verlangen;</w:t>
      </w:r>
    </w:p>
    <w:p>
      <w:pPr>
        <w:spacing w:after="120"/>
        <w:ind w:left="425"/>
      </w:pPr>
      <w:r>
        <w:t xml:space="preserve">d. </w:t>
      </w:r>
      <w:r>
        <w:rPr>
          <w:b/>
          <w:bCs/>
        </w:rPr>
        <w:t xml:space="preserve">[OPTIONAL:]</w:t>
      </w:r>
      <w:r>
        <w:t xml:space="preserve"> die Statikprüfung die Eignung des Daches bestätigt; und</w:t>
      </w:r>
    </w:p>
    <w:p>
      <w:pPr>
        <w:spacing w:after="120"/>
        <w:ind w:left="425"/>
      </w:pPr>
      <w:r>
        <w:t xml:space="preserve">e. </w:t>
      </w:r>
      <w:r>
        <w:rPr>
          <w:b/>
          <w:bCs/>
        </w:rPr>
        <w:t xml:space="preserve">[OPTIONAL:]</w:t>
      </w:r>
      <w:r>
        <w:t xml:space="preserve"> die Finanzierung der Produzentin zugesichert ist.</w:t>
      </w:r>
    </w:p>
    <w:p>
      <w:pPr>
        <w:tabs>
          <w:tab w:val="left" w:pos="425"/>
        </w:tabs>
        <w:spacing w:after="60"/>
        <w:ind w:left="425" w:hanging="425"/>
      </w:pPr>
      <w:r>
        <w:t xml:space="preserve">2.	</w:t>
      </w:r>
      <w:r>
        <w:t xml:space="preserve">Tritt eine Bedingung nicht fristgerecht ein, kann jede Partei den Vertrag durch schriftliche Erklärung aufheben, solange die Bedingung nicht eingetreten ist. Jede Partei trägt ihre bis dahin entstandenen Kosten.</w:t>
      </w:r>
    </w:p>
    <w:p>
      <w:pPr>
        <w:pStyle w:val="Heading2"/>
      </w:pPr>
      <w:r>
        <w:t xml:space="preserve">4. Bau und Inbetriebnahme</w:t>
      </w:r>
    </w:p>
    <w:p>
      <w:pPr>
        <w:tabs>
          <w:tab w:val="left" w:pos="425"/>
        </w:tabs>
        <w:spacing w:after="60"/>
        <w:ind w:left="425" w:hanging="425"/>
      </w:pPr>
      <w:r>
        <w:t xml:space="preserve">1.	</w:t>
      </w:r>
      <w:r>
        <w:t xml:space="preserve">Die Produzentin baut die Anlage nach Teil B, den anerkannten Regeln der Technik und den Vorgaben des Verteilnetzbetreibers. Sie setzt fachkundige Unternehmen ein und holt die nötigen Bewilligungen ein.</w:t>
      </w:r>
    </w:p>
    <w:p>
      <w:pPr>
        <w:tabs>
          <w:tab w:val="left" w:pos="425"/>
        </w:tabs>
        <w:spacing w:after="60"/>
        <w:ind w:left="425" w:hanging="425"/>
      </w:pPr>
      <w:r>
        <w:t xml:space="preserve">2.	</w:t>
      </w:r>
      <w:r>
        <w:t xml:space="preserve">Die Produzentin legt der Abnehmerin vor Baubeginn den Bauablauf vor. Die Arbeiten werden so geplant, dass der Betrieb der Abnehmerin möglichst wenig gestört wird; Zugänge, Sicherheitsvorschriften und Betriebszeiten der Abnehmerin sind zu beachten.</w:t>
      </w:r>
    </w:p>
    <w:p>
      <w:pPr>
        <w:tabs>
          <w:tab w:val="left" w:pos="425"/>
        </w:tabs>
        <w:spacing w:after="60"/>
        <w:ind w:left="425" w:hanging="425"/>
      </w:pPr>
      <w:r>
        <w:t xml:space="preserve">3.	</w:t>
      </w:r>
      <w:r>
        <w:t xml:space="preserve">Die Inbetriebnahme ist bis </w:t>
      </w:r>
      <w:r>
        <w:rPr>
          <w:b/>
          <w:bCs/>
        </w:rPr>
        <w:t xml:space="preserve">[Datum]</w:t>
      </w:r>
      <w:r>
        <w:t xml:space="preserve"> vorgesehen. Verzögert sie sich aus Gründen, welche die Produzentin zu vertreten hat, um mehr als [sechs] Monate, kann die Abnehmerin vom Vertrag zurücktreten; die Produzentin stellt den ursprünglichen Zustand auf eigene Kosten wieder her. Weitere Ansprüche sind ausgeschlossen.</w:t>
      </w:r>
    </w:p>
    <w:p>
      <w:pPr>
        <w:tabs>
          <w:tab w:val="left" w:pos="425"/>
        </w:tabs>
        <w:spacing w:after="60"/>
        <w:ind w:left="425" w:hanging="425"/>
      </w:pPr>
      <w:r>
        <w:t xml:space="preserve">4.	</w:t>
      </w:r>
      <w:r>
        <w:t xml:space="preserve">Nach Fertigstellung wird die Anlage gemeinsam besichtigt und ein Abnahmeprotokoll erstellt. Beizulegen sind der Sicherheitsnachweis, die Bestätigung der Anmeldung beim Verteilnetzbetreiber und die Dokumentation nach Teil B.</w:t>
      </w:r>
    </w:p>
    <w:p>
      <w:pPr>
        <w:pStyle w:val="Heading2"/>
      </w:pPr>
      <w:r>
        <w:t xml:space="preserve">5. Lieferung und Abnahme</w:t>
      </w:r>
    </w:p>
    <w:p>
      <w:pPr>
        <w:tabs>
          <w:tab w:val="left" w:pos="425"/>
        </w:tabs>
        <w:spacing w:after="60"/>
        <w:ind w:left="425" w:hanging="425"/>
      </w:pPr>
      <w:r>
        <w:t xml:space="preserve">1.	</w:t>
      </w:r>
      <w:r>
        <w:t xml:space="preserve">Die Produzentin liefert die Produktion vorrangig an die Abnehmerin. Die Abnehmerin bezieht die gelieferte Elektrizität und bezahlt sie nach Ziff. 7 (</w:t>
      </w:r>
      <w:r>
        <w:rPr>
          <w:b/>
          <w:bCs/>
        </w:rPr>
        <w:t xml:space="preserve">pay as produced</w:t>
      </w:r>
      <w:r>
        <w:t xml:space="preserve">). Eine bestimmte Liefermenge schuldet die Produzentin nicht; vorbehalten bleibt Ziff. 10.</w:t>
      </w:r>
    </w:p>
    <w:p>
      <w:pPr>
        <w:tabs>
          <w:tab w:val="left" w:pos="425"/>
        </w:tabs>
        <w:spacing w:after="60"/>
        <w:ind w:left="425" w:hanging="425"/>
      </w:pPr>
      <w:r>
        <w:t xml:space="preserve">2.	</w:t>
      </w:r>
      <w:r>
        <w:t xml:space="preserve">Den Restbezug beschafft die Abnehmerin auf eigene Rechnung bei ihrem Verteilnetzbetreiber oder Lieferanten. Die Produzentin schuldet keine Versorgung über die Produktion hinaus.</w:t>
      </w:r>
    </w:p>
    <w:p>
      <w:pPr>
        <w:tabs>
          <w:tab w:val="left" w:pos="425"/>
        </w:tabs>
        <w:spacing w:after="60"/>
        <w:ind w:left="425" w:hanging="425"/>
      </w:pPr>
      <w:r>
        <w:t xml:space="preserve">3.	</w:t>
      </w:r>
      <w:r>
        <w:t xml:space="preserve">Der Überschuss steht der Produzentin zu. Sie verkauft ihn dem Verteilnetzbetreiber nach Art. 15 EnG oder einer Dritten. </w:t>
      </w:r>
      <w:r>
        <w:rPr>
          <w:b/>
          <w:bCs/>
        </w:rPr>
        <w:t xml:space="preserve">[OPTIONAL – Überschuss an die Abnehmerin:]</w:t>
      </w:r>
      <w:r>
        <w:t xml:space="preserve"> Ist die Abnehmerin selbst Lieferantin oder vermarktet sie Strom, kann sie den Überschuss zu [●] Rp./kWh übernehmen.</w:t>
      </w:r>
    </w:p>
    <w:p>
      <w:pPr>
        <w:tabs>
          <w:tab w:val="left" w:pos="425"/>
        </w:tabs>
        <w:spacing w:after="60"/>
        <w:ind w:left="425" w:hanging="425"/>
      </w:pPr>
      <w:r>
        <w:t xml:space="preserve">4.	</w:t>
      </w:r>
      <w:r>
        <w:t xml:space="preserve">Die Abnehmerin verbraucht die gelieferte Elektrizität selbst. Eine Weitergabe an Dritte im Gebäude ist nur zulässig, soweit das Gesetz es erlaubt und die Produzentin vorgängig zugestimmt hat.</w:t>
      </w:r>
    </w:p>
    <w:p>
      <w:pPr>
        <w:tabs>
          <w:tab w:val="left" w:pos="425"/>
        </w:tabs>
        <w:spacing w:after="60"/>
        <w:ind w:left="425" w:hanging="425"/>
      </w:pPr>
      <w:r>
        <w:t xml:space="preserve">5.	</w:t>
      </w:r>
      <w:r>
        <w:rPr>
          <w:b/>
          <w:bCs/>
        </w:rPr>
        <w:t xml:space="preserve">[OPTIONAL – Speicher:]</w:t>
      </w:r>
      <w:r>
        <w:t xml:space="preserve"> Betreibt eine Partei einen Stromspeicher, regeln die Parteien in Teil B, welche Strommengen als gelieferte Elektrizität gelten.</w:t>
      </w:r>
    </w:p>
    <w:p>
      <w:pPr>
        <w:pBdr>
          <w:left w:val="single" w:color="0F5C4A" w:sz="18" w:space="6"/>
        </w:pBdr>
        <w:shd w:fill="EEF3F1" w:color="auto" w:val="clear"/>
        <w:spacing w:after="120" w:before="60"/>
        <w:ind w:left="120" w:right="120"/>
      </w:pPr>
      <w:r>
        <w:rPr>
          <w:b/>
          <w:bCs/>
          <w:color w:val="44546A"/>
          <w:sz w:val="19"/>
          <w:szCs w:val="19"/>
        </w:rPr>
        <w:t xml:space="preserve">Erläuterung zu Ziff. 5:</w:t>
      </w:r>
      <w:r>
        <w:rPr>
          <w:color w:val="44546A"/>
          <w:sz w:val="19"/>
          <w:szCs w:val="19"/>
        </w:rPr>
        <w:t xml:space="preserve"> «Pay as produced» ist bei On-site-PPA der Normalfall: Die Abnehmerin bezahlt nur, was die Anlage tatsächlich liefert und sie gleichzeitig verbraucht. Manche Verträge verpflichten die Abnehmerin, die gesamte Produktion zu bezahlen, auch den Überschuss («take or pay»). Das verschiebt das Risiko eines veränderten Lastprofils auf die Abnehmerin und ist im Muster nicht vorgesehen; Ziff. 10 deckt nur den Fall ab, dass die Abnehmerin die Lieferung verhindert.</w:t>
      </w:r>
    </w:p>
    <w:p>
      <w:pPr>
        <w:pStyle w:val="Heading2"/>
      </w:pPr>
      <w:r>
        <w:t xml:space="preserve">6. Messung</w:t>
      </w:r>
    </w:p>
    <w:p>
      <w:pPr>
        <w:tabs>
          <w:tab w:val="left" w:pos="425"/>
        </w:tabs>
        <w:spacing w:after="60"/>
        <w:ind w:left="425" w:hanging="425"/>
      </w:pPr>
      <w:r>
        <w:t xml:space="preserve">1.	</w:t>
      </w:r>
      <w:r>
        <w:t xml:space="preserve">Die Produzentin stellt einen Produktionszähler bereit. Die gelieferte Elektrizität wird je Viertelstunde als Produktion abzüglich Einspeisung am Netzanschlusspunkt berechnet; die Werte des Verteilnetzbetreibers am Netzanschlusspunkt gehen vor.</w:t>
      </w:r>
    </w:p>
    <w:p>
      <w:pPr>
        <w:tabs>
          <w:tab w:val="left" w:pos="425"/>
        </w:tabs>
        <w:spacing w:after="60"/>
        <w:ind w:left="425" w:hanging="425"/>
      </w:pPr>
      <w:r>
        <w:t xml:space="preserve">2.	</w:t>
      </w:r>
      <w:r>
        <w:t xml:space="preserve">Die Zähler entsprechen den Messmittelvorschriften. Die Produzentin lässt sie fristgerecht prüfen und ersetzen.</w:t>
      </w:r>
    </w:p>
    <w:p>
      <w:pPr>
        <w:tabs>
          <w:tab w:val="left" w:pos="425"/>
        </w:tabs>
        <w:spacing w:after="60"/>
        <w:ind w:left="425" w:hanging="425"/>
      </w:pPr>
      <w:r>
        <w:t xml:space="preserve">3.	</w:t>
      </w:r>
      <w:r>
        <w:t xml:space="preserve">Die Abnehmerin ermöglicht den Zugang zu den Messdaten des Verteilnetzbetreibers am Netzanschlusspunkt, soweit die Produzentin sie für die Abrechnung braucht. Sie erteilt dafür die nötigen Vollmachten.</w:t>
      </w:r>
    </w:p>
    <w:p>
      <w:pPr>
        <w:tabs>
          <w:tab w:val="left" w:pos="425"/>
        </w:tabs>
        <w:spacing w:after="60"/>
        <w:ind w:left="425" w:hanging="425"/>
      </w:pPr>
      <w:r>
        <w:t xml:space="preserve">4.	</w:t>
      </w:r>
      <w:r>
        <w:t xml:space="preserve">Fällt eine Messung aus oder ist sie fehlerhaft, werden die Werte anhand der übrigen Messungen, der Einstrahlung und vergleichbarer Zeiträume nach anerkannten Methoden geschätzt.</w:t>
      </w:r>
    </w:p>
    <w:p>
      <w:pPr>
        <w:tabs>
          <w:tab w:val="left" w:pos="425"/>
        </w:tabs>
        <w:spacing w:after="60"/>
        <w:ind w:left="425" w:hanging="425"/>
      </w:pPr>
      <w:r>
        <w:t xml:space="preserve">5.	</w:t>
      </w:r>
      <w:r>
        <w:t xml:space="preserve">Jede Partei kann eine Prüfung eines Zählers verlangen. Ist die Abweichung grösser als die zulässige Fehlergrenze, trägt die Produzentin die Kosten, sonst die verlangende Partei. Abrechnungen werden für höchstens [zwölf] Monate rückwirkend berichtigt.</w:t>
      </w:r>
    </w:p>
    <w:p>
      <w:pPr>
        <w:pStyle w:val="Heading2"/>
      </w:pPr>
      <w:r>
        <w:t xml:space="preserve">7. Preis</w:t>
      </w:r>
    </w:p>
    <w:p>
      <w:pPr>
        <w:tabs>
          <w:tab w:val="left" w:pos="425"/>
        </w:tabs>
        <w:spacing w:after="60"/>
        <w:ind w:left="425" w:hanging="425"/>
      </w:pPr>
      <w:r>
        <w:t xml:space="preserve">1.	</w:t>
      </w:r>
      <w:r>
        <w:t xml:space="preserve">Die Abnehmerin bezahlt für die gelieferte Elektrizität den Preis nach dem folgenden Modell (Einzelheiten und Beispiele in Teil C):</w:t>
      </w:r>
    </w:p>
    <w:p>
      <w:pPr>
        <w:spacing w:after="120"/>
        <w:ind w:left="425"/>
      </w:pPr>
      <w:r>
        <w:rPr>
          <w:b/>
          <w:bCs/>
        </w:rPr>
        <w:t xml:space="preserve">[VARIANTE A – Fixpreis:]</w:t>
      </w:r>
      <w:r>
        <w:t xml:space="preserve"> [●] Rp./kWh während der gesamten Laufzeit.</w:t>
      </w:r>
    </w:p>
    <w:p>
      <w:pPr>
        <w:spacing w:after="120"/>
        <w:ind w:left="425"/>
      </w:pPr>
      <w:r>
        <w:rPr>
          <w:b/>
          <w:bCs/>
        </w:rPr>
        <w:t xml:space="preserve">[VARIANTE B – Indexierter Preis:]</w:t>
      </w:r>
      <w:r>
        <w:t xml:space="preserve"> [●] Rp./kWh im ersten Vertragsjahr. Der Preis wird jeweils auf Beginn eines Vertragsjahres angepasst </w:t>
      </w:r>
      <w:r>
        <w:rPr>
          <w:b/>
          <w:bCs/>
        </w:rPr>
        <w:t xml:space="preserve">[B1:]</w:t>
      </w:r>
      <w:r>
        <w:t xml:space="preserve"> im Verhältnis des Landesindexes der Konsumentenpreise (LIK) des Monats [●] zum Stand des gleichen Monats im Vorjahr, höchstens um [●] % und mindestens um [0] % pro Jahr </w:t>
      </w:r>
      <w:r>
        <w:rPr>
          <w:b/>
          <w:bCs/>
        </w:rPr>
        <w:t xml:space="preserve">[B2:]</w:t>
      </w:r>
      <w:r>
        <w:t xml:space="preserve"> um [●] % pro Jahr.</w:t>
      </w:r>
    </w:p>
    <w:p>
      <w:pPr>
        <w:spacing w:after="120"/>
        <w:ind w:left="425"/>
      </w:pPr>
      <w:r>
        <w:rPr>
          <w:b/>
          <w:bCs/>
        </w:rPr>
        <w:t xml:space="preserve">[VARIANTE C – Rabatt auf den Netzpreis mit Floor und Cap:]</w:t>
      </w:r>
      <w:r>
        <w:t xml:space="preserve"> der Referenzpreis nach Teil C Ziff. 3, abzüglich [●] %, mindestens jedoch [●] Rp./kWh (Floor) und höchstens [●] Rp./kWh (Cap).</w:t>
      </w:r>
    </w:p>
    <w:p>
      <w:pPr>
        <w:tabs>
          <w:tab w:val="left" w:pos="425"/>
        </w:tabs>
        <w:spacing w:after="60"/>
        <w:ind w:left="425" w:hanging="425"/>
      </w:pPr>
      <w:r>
        <w:t xml:space="preserve">2.	</w:t>
      </w:r>
      <w:r>
        <w:t xml:space="preserve">Die Preise verstehen sich ohne Mehrwertsteuer. Diese wird zusätzlich zum geltenden Satz in Rechnung gestellt.</w:t>
      </w:r>
    </w:p>
    <w:p>
      <w:pPr>
        <w:tabs>
          <w:tab w:val="left" w:pos="425"/>
        </w:tabs>
        <w:spacing w:after="60"/>
        <w:ind w:left="425" w:hanging="425"/>
      </w:pPr>
      <w:r>
        <w:t xml:space="preserve">3.	</w:t>
      </w:r>
      <w:r>
        <w:t xml:space="preserve">Im Preis enthalten sind sämtliche Kosten der Anlage, insbesondere Planung, Bau, Finanzierung, Betrieb, Unterhalt, Versicherung, Messung und Abrechnung. Weitere Gebühren werden nicht erhoben.</w:t>
      </w:r>
    </w:p>
    <w:p>
      <w:pPr>
        <w:tabs>
          <w:tab w:val="left" w:pos="425"/>
        </w:tabs>
        <w:spacing w:after="60"/>
        <w:ind w:left="425" w:hanging="425"/>
      </w:pPr>
      <w:r>
        <w:t xml:space="preserve">4.	</w:t>
      </w:r>
      <w:r>
        <w:rPr>
          <w:b/>
          <w:bCs/>
        </w:rPr>
        <w:t xml:space="preserve">Neue Abgaben.</w:t>
      </w:r>
      <w:r>
        <w:t xml:space="preserve"> Werden nach Vertragsschluss auf der gelieferten Elektrizität neue Abgaben, Gebühren oder Netzentgelte erhoben, die nur deshalb anfallen, weil die Elektrizität vor Ort geliefert wird, verhandeln die Parteien nach Treu und Glauben über eine Anpassung. Kommt keine Einigung zustande, trägt [die Abnehmerin / jede Partei die Hälfte].</w:t>
      </w:r>
    </w:p>
    <w:p>
      <w:pPr>
        <w:pBdr>
          <w:left w:val="single" w:color="0F5C4A" w:sz="18" w:space="6"/>
        </w:pBdr>
        <w:shd w:fill="EEF3F1" w:color="auto" w:val="clear"/>
        <w:spacing w:after="120" w:before="60"/>
        <w:ind w:left="120" w:right="120"/>
      </w:pPr>
      <w:r>
        <w:rPr>
          <w:b/>
          <w:bCs/>
          <w:color w:val="44546A"/>
          <w:sz w:val="19"/>
          <w:szCs w:val="19"/>
        </w:rPr>
        <w:t xml:space="preserve">Erläuterung zu Ziff. 7:</w:t>
      </w:r>
      <w:r>
        <w:rPr>
          <w:color w:val="44546A"/>
          <w:sz w:val="19"/>
          <w:szCs w:val="19"/>
        </w:rPr>
        <w:t xml:space="preserve"> Der Preis des On-site-PPA muss mit dem Netzbezug konkurrieren, den die Abnehmerin ersetzt – also mit dem Arbeitspreis für Energie, Netznutzung und Abgaben pro kWh, nicht nur mit dem Energiepreis. Leistungspreise und Grundgebühren des Netzbezugs bleiben meist bestehen, weil die Anlage die Lastspitzen nicht zuverlässig senkt. Beim Fixpreis trägt die Abnehmerin das Risiko, dass der Netzpreis unter den PPA-Preis fällt; beim Modell C trägt dieses Risiko oberhalb des Floors die Produzentin. Der Floor sollte so gewählt werden, dass er die Finanzierung der Anlage deckt.</w:t>
      </w:r>
    </w:p>
    <w:p>
      <w:pPr>
        <w:pStyle w:val="Heading2"/>
      </w:pPr>
      <w:r>
        <w:t xml:space="preserve">8. Rechnungsstellung und Zahlung</w:t>
      </w:r>
    </w:p>
    <w:p>
      <w:pPr>
        <w:tabs>
          <w:tab w:val="left" w:pos="425"/>
        </w:tabs>
        <w:spacing w:after="60"/>
        <w:ind w:left="425" w:hanging="425"/>
      </w:pPr>
      <w:r>
        <w:t xml:space="preserve">1.	</w:t>
      </w:r>
      <w:r>
        <w:t xml:space="preserve">Die Produzentin stellt </w:t>
      </w:r>
      <w:r>
        <w:rPr>
          <w:b/>
          <w:bCs/>
        </w:rPr>
        <w:t xml:space="preserve">[monatlich / quartalsweise]</w:t>
      </w:r>
      <w:r>
        <w:t xml:space="preserve"> Rechnung. Die Rechnung weist Produktion, gelieferte Elektrizität, Überschuss, angewendeten Preis und, bei Variante C, die Herleitung des Referenzpreises aus.</w:t>
      </w:r>
    </w:p>
    <w:p>
      <w:pPr>
        <w:tabs>
          <w:tab w:val="left" w:pos="425"/>
        </w:tabs>
        <w:spacing w:after="60"/>
        <w:ind w:left="425" w:hanging="425"/>
      </w:pPr>
      <w:r>
        <w:t xml:space="preserve">2.	</w:t>
      </w:r>
      <w:r>
        <w:t xml:space="preserve">Rechnungen sind innert 30 Tagen zahlbar. Bei Verzug schuldet die Abnehmerin Verzugszins von [5] % pro Jahr.</w:t>
      </w:r>
    </w:p>
    <w:p>
      <w:pPr>
        <w:tabs>
          <w:tab w:val="left" w:pos="425"/>
        </w:tabs>
        <w:spacing w:after="60"/>
        <w:ind w:left="425" w:hanging="425"/>
      </w:pPr>
      <w:r>
        <w:t xml:space="preserve">3.	</w:t>
      </w:r>
      <w:r>
        <w:t xml:space="preserve">Die Abnehmerin kann eine Rechnung innert 30 Tagen schriftlich und begründet beanstanden. Der unbestrittene Teil ist fristgerecht zu bezahlen.</w:t>
      </w:r>
    </w:p>
    <w:p>
      <w:pPr>
        <w:tabs>
          <w:tab w:val="left" w:pos="425"/>
        </w:tabs>
        <w:spacing w:after="60"/>
        <w:ind w:left="425" w:hanging="425"/>
      </w:pPr>
      <w:r>
        <w:t xml:space="preserve">4.	</w:t>
      </w:r>
      <w:r>
        <w:t xml:space="preserve">Die Produzentin stellt der Abnehmerin jährlich eine Übersicht über Produktion, gelieferte Elektrizität und Eigenverbrauchsanteil zu.</w:t>
      </w:r>
    </w:p>
    <w:p>
      <w:pPr>
        <w:pStyle w:val="Heading2"/>
      </w:pPr>
      <w:r>
        <w:t xml:space="preserve">9. Herkunftsnachweise und ökologischer Mehrwert</w:t>
      </w:r>
    </w:p>
    <w:p>
      <w:pPr>
        <w:tabs>
          <w:tab w:val="left" w:pos="425"/>
        </w:tabs>
        <w:spacing w:after="60"/>
        <w:ind w:left="425" w:hanging="425"/>
      </w:pPr>
      <w:r>
        <w:t xml:space="preserve">1.	</w:t>
      </w:r>
      <w:r>
        <w:t xml:space="preserve">Soweit für die gelieferte Elektrizität Herkunftsnachweise ausgestellt werden, überträgt die Produzentin sie im Herkunftsnachweissystem ohne zusätzliches Entgelt an die Abnehmerin oder entwertet sie auf deren Namen. Die Abnehmerin darf die gelieferte Elektrizität in ihrer Berichterstattung als Solarstrom aus der Anlage ausweisen.</w:t>
      </w:r>
    </w:p>
    <w:p>
      <w:pPr>
        <w:tabs>
          <w:tab w:val="left" w:pos="425"/>
        </w:tabs>
        <w:spacing w:after="60"/>
        <w:ind w:left="425" w:hanging="425"/>
      </w:pPr>
      <w:r>
        <w:t xml:space="preserve">2.	</w:t>
      </w:r>
      <w:r>
        <w:t xml:space="preserve">Die Herkunftsnachweise für den Überschuss stehen der Produzentin zu.</w:t>
      </w:r>
    </w:p>
    <w:p>
      <w:pPr>
        <w:tabs>
          <w:tab w:val="left" w:pos="425"/>
        </w:tabs>
        <w:spacing w:after="60"/>
        <w:ind w:left="425" w:hanging="425"/>
      </w:pPr>
      <w:r>
        <w:t xml:space="preserve">3.	</w:t>
      </w:r>
      <w:r>
        <w:t xml:space="preserve">Die Kosten für Erfassung und Beglaubigung der Anlage im Herkunftsnachweissystem trägt die Produzentin.</w:t>
      </w:r>
    </w:p>
    <w:p>
      <w:pPr>
        <w:tabs>
          <w:tab w:val="left" w:pos="425"/>
        </w:tabs>
        <w:spacing w:after="60"/>
        <w:ind w:left="425" w:hanging="425"/>
      </w:pPr>
      <w:r>
        <w:t xml:space="preserve">4.	</w:t>
      </w:r>
      <w:r>
        <w:t xml:space="preserve">Die Abnehmerin erhält jährlich die Angaben, die sie für ihre Treibhausgasbilanz (Scope 2) und ihre Nachhaltigkeitsberichterstattung braucht.</w:t>
      </w:r>
    </w:p>
    <w:p>
      <w:pPr>
        <w:pBdr>
          <w:left w:val="single" w:color="0F5C4A" w:sz="18" w:space="6"/>
        </w:pBdr>
        <w:shd w:fill="EEF3F1" w:color="auto" w:val="clear"/>
        <w:spacing w:after="120" w:before="60"/>
        <w:ind w:left="120" w:right="120"/>
      </w:pPr>
      <w:r>
        <w:rPr>
          <w:b/>
          <w:bCs/>
          <w:color w:val="44546A"/>
          <w:sz w:val="19"/>
          <w:szCs w:val="19"/>
        </w:rPr>
        <w:t xml:space="preserve">Erläuterung zu Ziff. 9:</w:t>
      </w:r>
      <w:r>
        <w:rPr>
          <w:color w:val="44546A"/>
          <w:sz w:val="19"/>
          <w:szCs w:val="19"/>
        </w:rPr>
        <w:t xml:space="preserve"> Anlagen mit mehr als 30 kVA müssen im Herkunftsnachweissystem von Pronovo erfasst werden. Ob und wie Herkunftsnachweise für vor Ort verbrauchten Strom ausgestellt werden, hängt vom Messkonzept ab (Messung der Bruttoproduktion). Für die Treibhausgasbilanz ist entscheidend, dass die Nachweise für die gelieferte Elektrizität nicht zusätzlich an Dritte verkauft werden. Diese Frage ist für die Fachprüfung vorgemerkt.</w:t>
      </w:r>
    </w:p>
    <w:p>
      <w:pPr>
        <w:pStyle w:val="Heading2"/>
      </w:pPr>
      <w:r>
        <w:t xml:space="preserve">10. Betrieb, Unterhalt und Verfügbarkeit</w:t>
      </w:r>
    </w:p>
    <w:p>
      <w:pPr>
        <w:tabs>
          <w:tab w:val="left" w:pos="425"/>
        </w:tabs>
        <w:spacing w:after="60"/>
        <w:ind w:left="425" w:hanging="425"/>
      </w:pPr>
      <w:r>
        <w:t xml:space="preserve">1.	</w:t>
      </w:r>
      <w:r>
        <w:t xml:space="preserve">Die Produzentin betreibt und unterhält die Anlage auf eigene Kosten fachgerecht. Sie überwacht die Anlage laufend und behebt Störungen innert [fünf] Arbeitstagen nach Kenntnis, soweit Ersatzteile verfügbar sind.</w:t>
      </w:r>
    </w:p>
    <w:p>
      <w:pPr>
        <w:tabs>
          <w:tab w:val="left" w:pos="425"/>
        </w:tabs>
        <w:spacing w:after="60"/>
        <w:ind w:left="425" w:hanging="425"/>
      </w:pPr>
      <w:r>
        <w:t xml:space="preserve">2.	</w:t>
      </w:r>
      <w:r>
        <w:t xml:space="preserve">Die Produzentin kündigt planbare Unterhaltsarbeiten mindestens [zehn] Arbeitstage im Voraus an. Bei Gefahr im Verzug darf sie die Anlage sofort abschalten.</w:t>
      </w:r>
    </w:p>
    <w:p>
      <w:pPr>
        <w:tabs>
          <w:tab w:val="left" w:pos="425"/>
        </w:tabs>
        <w:spacing w:after="60"/>
        <w:ind w:left="425" w:hanging="425"/>
      </w:pPr>
      <w:r>
        <w:t xml:space="preserve">3.	</w:t>
      </w:r>
      <w:r>
        <w:rPr>
          <w:b/>
          <w:bCs/>
        </w:rPr>
        <w:t xml:space="preserve">[OPTIONAL – Produktionsgarantie:]</w:t>
      </w:r>
      <w:r>
        <w:t xml:space="preserve"> Die Produzentin garantiert eine Produktion von [90] % der erwarteten Jahresproduktion nach Teil B, bereinigt um Einstrahlung und Abschaltungen nach Abs. 4. Unterschreitet die Produktion diesen Wert, vergütet sie der Abnehmerin für die fehlende Menge den Betrag, um den der Restbezug teurer war als der Preis nach Ziff. 7, höchstens [●] Rp./kWh.</w:t>
      </w:r>
    </w:p>
    <w:p>
      <w:pPr>
        <w:tabs>
          <w:tab w:val="left" w:pos="425"/>
        </w:tabs>
        <w:spacing w:after="60"/>
        <w:ind w:left="425" w:hanging="425"/>
      </w:pPr>
      <w:r>
        <w:t xml:space="preserve">4.	</w:t>
      </w:r>
      <w:r>
        <w:rPr>
          <w:b/>
          <w:bCs/>
        </w:rPr>
        <w:t xml:space="preserve">Abschaltungen im Bereich der Abnehmerin.</w:t>
      </w:r>
      <w:r>
        <w:t xml:space="preserve"> Muss die Anlage auf Veranlassung der Abnehmerin oder aus Gründen in ihrem Bereich abgeschaltet oder abgeregelt werden – insbesondere wegen Dacharbeiten nach Ziff. 12 Abs. 4, Stilllegung oder Umbau des Gebäudes –, schuldet die Abnehmerin für jede Abschaltung, die über [fünf] Tage pro Vertragsjahr hinausgeht, den Preis für die Elektrizität, die sie in dieser Zeit voraussichtlich bezogen hätte, abzüglich des Erlöses, den die Produzentin durch Einspeisung erzielt.</w:t>
      </w:r>
    </w:p>
    <w:p>
      <w:pPr>
        <w:tabs>
          <w:tab w:val="left" w:pos="425"/>
        </w:tabs>
        <w:spacing w:after="60"/>
        <w:ind w:left="425" w:hanging="425"/>
      </w:pPr>
      <w:r>
        <w:t xml:space="preserve">5.	</w:t>
      </w:r>
      <w:r>
        <w:t xml:space="preserve">Abschaltungen und Leistungsreduktionen, die der Verteilnetzbetreiber gestützt auf Gesetz oder Netzanschlussvertrag anordnet, gehen weder zulasten der einen noch der anderen Partei.</w:t>
      </w:r>
    </w:p>
    <w:p>
      <w:pPr>
        <w:pStyle w:val="Heading2"/>
      </w:pPr>
      <w:r>
        <w:t xml:space="preserve">11. Eigentum an der Anlage</w:t>
      </w:r>
    </w:p>
    <w:p>
      <w:pPr>
        <w:tabs>
          <w:tab w:val="left" w:pos="425"/>
        </w:tabs>
        <w:spacing w:after="60"/>
        <w:ind w:left="425" w:hanging="425"/>
      </w:pPr>
      <w:r>
        <w:t xml:space="preserve">1.	</w:t>
      </w:r>
      <w:r>
        <w:t xml:space="preserve">Die Anlage einschliesslich Leitungen, Wechselrichter und Messeinrichtungen bis zur Übergabestelle nach Teil B ist und bleibt Eigentum der Produzentin. Sie wird nicht Bestandteil des Gebäudes.</w:t>
      </w:r>
    </w:p>
    <w:p>
      <w:pPr>
        <w:tabs>
          <w:tab w:val="left" w:pos="425"/>
        </w:tabs>
        <w:spacing w:after="60"/>
        <w:ind w:left="425" w:hanging="425"/>
      </w:pPr>
      <w:r>
        <w:t xml:space="preserve">2.	</w:t>
      </w:r>
      <w:r>
        <w:t xml:space="preserve">Zur Sicherung des Eigentums wird zugunsten der Produzentin eine Dienstbarkeit nach Teil D errichtet. Die Parteien wirken bei der öffentlichen Beurkundung und Eintragung mit. Die Kosten trägt </w:t>
      </w:r>
      <w:r>
        <w:rPr>
          <w:b/>
          <w:bCs/>
        </w:rPr>
        <w:t xml:space="preserve">[die Produzentin / jede Partei die Hälfte]</w:t>
      </w:r>
      <w:r>
        <w:t xml:space="preserve">.</w:t>
      </w:r>
    </w:p>
    <w:p>
      <w:pPr>
        <w:tabs>
          <w:tab w:val="left" w:pos="425"/>
        </w:tabs>
        <w:spacing w:after="60"/>
        <w:ind w:left="425" w:hanging="425"/>
      </w:pPr>
      <w:r>
        <w:t xml:space="preserve">3.	</w:t>
      </w:r>
      <w:r>
        <w:t xml:space="preserve">Die Abnehmerin darf die Anlage weder veräussern noch belasten noch verändern. Sie informiert Dritte, die Rechte am Gebäude erwerben, über das Eigentum der Produzentin.</w:t>
      </w:r>
    </w:p>
    <w:p>
      <w:pPr>
        <w:pStyle w:val="Heading2"/>
      </w:pPr>
      <w:r>
        <w:t xml:space="preserve">12. Nutzung von Dach und Gebäude</w:t>
      </w:r>
    </w:p>
    <w:p>
      <w:pPr>
        <w:tabs>
          <w:tab w:val="left" w:pos="425"/>
        </w:tabs>
        <w:spacing w:after="60"/>
        <w:ind w:left="425" w:hanging="425"/>
      </w:pPr>
      <w:r>
        <w:t xml:space="preserve">1.	</w:t>
      </w:r>
      <w:r>
        <w:t xml:space="preserve">Die Abnehmerin stellt der Produzentin während der Laufzeit unentgeltlich die Dachflächen nach Teil B, die Leitungswege und einen Platz für Wechselrichter und Messeinrichtungen zur Verfügung.</w:t>
      </w:r>
    </w:p>
    <w:p>
      <w:pPr>
        <w:tabs>
          <w:tab w:val="left" w:pos="425"/>
        </w:tabs>
        <w:spacing w:after="60"/>
        <w:ind w:left="425" w:hanging="425"/>
      </w:pPr>
      <w:r>
        <w:t xml:space="preserve">2.	</w:t>
      </w:r>
      <w:r>
        <w:t xml:space="preserve">Die Produzentin und von ihr beauftragte Personen haben nach Voranmeldung Zugang zu Anlage und Leitungen; bei Störungen und Gefahr jederzeit. Die Abnehmerin bezeichnet eine Ansprechperson.</w:t>
      </w:r>
    </w:p>
    <w:p>
      <w:pPr>
        <w:tabs>
          <w:tab w:val="left" w:pos="425"/>
        </w:tabs>
        <w:spacing w:after="60"/>
        <w:ind w:left="425" w:hanging="425"/>
      </w:pPr>
      <w:r>
        <w:t xml:space="preserve">3.	</w:t>
      </w:r>
      <w:r>
        <w:t xml:space="preserve">Die Abnehmerin unterlässt alles, was den Betrieb der Anlage beeinträchtigt, insbesondere Bauten oder Bepflanzungen, die Verschattung verursachen. Sie meldet Schäden und Störungen, die sie bemerkt.</w:t>
      </w:r>
    </w:p>
    <w:p>
      <w:pPr>
        <w:tabs>
          <w:tab w:val="left" w:pos="425"/>
        </w:tabs>
        <w:spacing w:after="60"/>
        <w:ind w:left="425" w:hanging="425"/>
      </w:pPr>
      <w:r>
        <w:t xml:space="preserve">4.	</w:t>
      </w:r>
      <w:r>
        <w:rPr>
          <w:b/>
          <w:bCs/>
        </w:rPr>
        <w:t xml:space="preserve">Dacharbeiten.</w:t>
      </w:r>
      <w:r>
        <w:t xml:space="preserve"> Muss das Dach saniert werden, kündigt die Abnehmerin dies mindestens [sechs] Monate im Voraus an. Die Produzentin demontiert und montiert die Anlage auf Kosten der Abnehmerin; Ziff. 10 Abs. 4 gilt für die Dauer der Abschaltung. </w:t>
      </w:r>
      <w:r>
        <w:rPr>
          <w:b/>
          <w:bCs/>
        </w:rPr>
        <w:t xml:space="preserve">[OPTIONAL:]</w:t>
      </w:r>
      <w:r>
        <w:t xml:space="preserve"> In den ersten [zehn] Jahren sind Dacharbeiten nur bei Schäden zulässig, die nicht aufgeschoben werden können.</w:t>
      </w:r>
    </w:p>
    <w:p>
      <w:pPr>
        <w:tabs>
          <w:tab w:val="left" w:pos="425"/>
        </w:tabs>
        <w:spacing w:after="60"/>
        <w:ind w:left="425" w:hanging="425"/>
      </w:pPr>
      <w:r>
        <w:t xml:space="preserve">5.	</w:t>
      </w:r>
      <w:r>
        <w:t xml:space="preserve">Die Produzentin haftet für Schäden an Dach und Gebäude, die durch Bau, Betrieb oder Rückbau der Anlage verursacht werden.</w:t>
      </w:r>
    </w:p>
    <w:p>
      <w:pPr>
        <w:pStyle w:val="Heading2"/>
      </w:pPr>
      <w:r>
        <w:t xml:space="preserve">13. Versicherung und Haftung</w:t>
      </w:r>
    </w:p>
    <w:p>
      <w:pPr>
        <w:tabs>
          <w:tab w:val="left" w:pos="425"/>
        </w:tabs>
        <w:spacing w:after="60"/>
        <w:ind w:left="425" w:hanging="425"/>
      </w:pPr>
      <w:r>
        <w:t xml:space="preserve">1.	</w:t>
      </w:r>
      <w:r>
        <w:t xml:space="preserve">Die Produzentin versichert die Anlage gegen Sachschäden und Betriebsunterbruch und unterhält eine Betriebshaftpflichtversicherung mit einer Deckung von mindestens Fr. [●] pro Ereignis. Die Abnehmerin unterhält eine Gebäudeversicherung und informiert die Gebäudeversicherung über die Anlage.</w:t>
      </w:r>
    </w:p>
    <w:p>
      <w:pPr>
        <w:tabs>
          <w:tab w:val="left" w:pos="425"/>
        </w:tabs>
        <w:spacing w:after="60"/>
        <w:ind w:left="425" w:hanging="425"/>
      </w:pPr>
      <w:r>
        <w:t xml:space="preserve">2.	</w:t>
      </w:r>
      <w:r>
        <w:t xml:space="preserve">Die Parteien haften einander für Schäden aus der Verletzung dieses Vertrags, wenn sie nicht beweisen, dass sie kein Verschulden trifft. Die Haftung für leichte Fahrlässigkeit, für entgangenen Gewinn und für indirekte Schäden ist ausgeschlossen, soweit gesetzlich zulässig. Die Haftung für Personenschäden und für Schäden an Dach und Gebäude nach Ziff. 12 Abs. 5 bleibt unbeschränkt.</w:t>
      </w:r>
    </w:p>
    <w:p>
      <w:pPr>
        <w:pStyle w:val="Heading2"/>
      </w:pPr>
      <w:r>
        <w:t xml:space="preserve">14. Höhere Gewalt</w:t>
      </w:r>
    </w:p>
    <w:p>
      <w:pPr>
        <w:tabs>
          <w:tab w:val="left" w:pos="425"/>
        </w:tabs>
        <w:spacing w:after="60"/>
        <w:ind w:left="425" w:hanging="425"/>
      </w:pPr>
      <w:r>
        <w:t xml:space="preserve">1.	</w:t>
      </w:r>
      <w:r>
        <w:t xml:space="preserve">Kann eine Partei ihre Pflichten wegen Ereignissen nicht erfüllen, die sie nicht beeinflussen kann – etwa Naturereignisse, Krieg, behördliche Anordnungen oder grossflächige Netzausfälle –, ruhen diese Pflichten für die Dauer des Ereignisses. Zahlungspflichten für bereits gelieferte Elektrizität bleiben bestehen.</w:t>
      </w:r>
    </w:p>
    <w:p>
      <w:pPr>
        <w:tabs>
          <w:tab w:val="left" w:pos="425"/>
        </w:tabs>
        <w:spacing w:after="60"/>
        <w:ind w:left="425" w:hanging="425"/>
      </w:pPr>
      <w:r>
        <w:t xml:space="preserve">2.	</w:t>
      </w:r>
      <w:r>
        <w:t xml:space="preserve">Dauert das Ereignis länger als [zwölf] Monate, kann jede Partei den Vertrag mit einer Frist von drei Monaten kündigen. Ziff. 16 Abs. 3 gilt sinngemäss; ein Übernahmewert ist nicht geschuldet, wenn die Anlage zerstört ist und die Versicherung den Schaden deckt.</w:t>
      </w:r>
    </w:p>
    <w:p>
      <w:pPr>
        <w:pStyle w:val="Heading2"/>
      </w:pPr>
      <w:r>
        <w:t xml:space="preserve">15. Laufzeit</w:t>
      </w:r>
    </w:p>
    <w:p>
      <w:pPr>
        <w:tabs>
          <w:tab w:val="left" w:pos="425"/>
        </w:tabs>
        <w:spacing w:after="60"/>
        <w:ind w:left="425" w:hanging="425"/>
      </w:pPr>
      <w:r>
        <w:t xml:space="preserve">1.	</w:t>
      </w:r>
      <w:r>
        <w:t xml:space="preserve">Der Vertrag tritt mit der Unterzeichnung in Kraft. Die Lieferung beginnt mit der Inbetriebnahme und dauert </w:t>
      </w:r>
      <w:r>
        <w:rPr>
          <w:b/>
          <w:bCs/>
        </w:rPr>
        <w:t xml:space="preserve">[20] Jahre</w:t>
      </w:r>
      <w:r>
        <w:t xml:space="preserve">.</w:t>
      </w:r>
    </w:p>
    <w:p>
      <w:pPr>
        <w:tabs>
          <w:tab w:val="left" w:pos="425"/>
        </w:tabs>
        <w:spacing w:after="60"/>
        <w:ind w:left="425" w:hanging="425"/>
      </w:pPr>
      <w:r>
        <w:t xml:space="preserve">2.	</w:t>
      </w:r>
      <w:r>
        <w:t xml:space="preserve">Der Vertrag verlängert sich danach jeweils um [ein / fünf] Jahr(e), wenn ihn keine Partei mit einer Frist von zwölf Monaten auf das Ende der Laufzeit kündigt.</w:t>
      </w:r>
    </w:p>
    <w:p>
      <w:pPr>
        <w:tabs>
          <w:tab w:val="left" w:pos="425"/>
        </w:tabs>
        <w:spacing w:after="60"/>
        <w:ind w:left="425" w:hanging="425"/>
      </w:pPr>
      <w:r>
        <w:t xml:space="preserve">3.	</w:t>
      </w:r>
      <w:r>
        <w:t xml:space="preserve">Vor Ablauf der Laufzeit kann der Vertrag nur nach Ziff. 14, 16 und 17 beendet werden.</w:t>
      </w:r>
    </w:p>
    <w:p>
      <w:pPr>
        <w:pBdr>
          <w:left w:val="single" w:color="0F5C4A" w:sz="18" w:space="6"/>
        </w:pBdr>
        <w:shd w:fill="EEF3F1" w:color="auto" w:val="clear"/>
        <w:spacing w:after="120" w:before="60"/>
        <w:ind w:left="120" w:right="120"/>
      </w:pPr>
      <w:r>
        <w:rPr>
          <w:b/>
          <w:bCs/>
          <w:color w:val="44546A"/>
          <w:sz w:val="19"/>
          <w:szCs w:val="19"/>
        </w:rPr>
        <w:t xml:space="preserve">Erläuterung zu Ziff. 15:</w:t>
      </w:r>
      <w:r>
        <w:rPr>
          <w:color w:val="44546A"/>
          <w:sz w:val="19"/>
          <w:szCs w:val="19"/>
        </w:rPr>
        <w:t xml:space="preserve"> Übliche Laufzeiten von On-site-PPA liegen zwischen 15 und 25 Jahren und richten sich nach der Finanzierung. Eine kurze Laufzeit erhöht den Preis pro kWh. Die Lebensdauer der Module liegt meist über 25 Jahren; deshalb sieht das Muster eine Verlängerung und eine Kaufoption vor.</w:t>
      </w:r>
    </w:p>
    <w:p>
      <w:pPr>
        <w:pStyle w:val="Heading2"/>
      </w:pPr>
      <w:r>
        <w:t xml:space="preserve">16. Vorzeitige Beendigung und Kaufoption</w:t>
      </w:r>
    </w:p>
    <w:p>
      <w:pPr>
        <w:tabs>
          <w:tab w:val="left" w:pos="425"/>
        </w:tabs>
        <w:spacing w:after="60"/>
        <w:ind w:left="425" w:hanging="425"/>
      </w:pPr>
      <w:r>
        <w:t xml:space="preserve">1.	</w:t>
      </w:r>
      <w:r>
        <w:rPr>
          <w:b/>
          <w:bCs/>
        </w:rPr>
        <w:t xml:space="preserve">Kaufoption.</w:t>
      </w:r>
      <w:r>
        <w:t xml:space="preserve"> Die Abnehmerin kann die Anlage jeweils auf das Ende des [fünften, zehnten und fünfzehnten] Vertragsjahres sowie auf das Ende der Laufzeit zum Übernahmewert nach Teil E kaufen. Sie erklärt dies mindestens sechs Monate im Voraus schriftlich. Mit der Zahlung gehen Eigentum, Herstellergarantien und Unterlagen auf sie über; die Dienstbarkeit wird gelöscht.</w:t>
      </w:r>
    </w:p>
    <w:p>
      <w:pPr>
        <w:tabs>
          <w:tab w:val="left" w:pos="425"/>
        </w:tabs>
        <w:spacing w:after="60"/>
        <w:ind w:left="425" w:hanging="425"/>
      </w:pPr>
      <w:r>
        <w:t xml:space="preserve">2.	</w:t>
      </w:r>
      <w:r>
        <w:rPr>
          <w:b/>
          <w:bCs/>
        </w:rPr>
        <w:t xml:space="preserve">Ausserordentliche Kündigung.</w:t>
      </w:r>
      <w:r>
        <w:t xml:space="preserve"> Jede Partei kann den Vertrag aus wichtigem Grund fristlos kündigen, insbesondere wenn die andere Partei:</w:t>
      </w:r>
    </w:p>
    <w:p>
      <w:pPr>
        <w:spacing w:after="120"/>
        <w:ind w:left="425"/>
      </w:pPr>
      <w:r>
        <w:t xml:space="preserve">a. eine wesentliche Pflicht trotz schriftlicher Mahnung mit einer Frist von mindestens [60] Tagen nicht erfüllt; oder</w:t>
      </w:r>
    </w:p>
    <w:p>
      <w:pPr>
        <w:spacing w:after="120"/>
        <w:ind w:left="425"/>
      </w:pPr>
      <w:r>
        <w:t xml:space="preserve">b. zahlungsunfähig wird, in Konkurs fällt oder eine Nachlassstundung erhält.</w:t>
      </w:r>
    </w:p>
    <w:p>
      <w:pPr>
        <w:tabs>
          <w:tab w:val="left" w:pos="425"/>
        </w:tabs>
        <w:spacing w:after="60"/>
        <w:ind w:left="425" w:hanging="425"/>
      </w:pPr>
      <w:r>
        <w:t xml:space="preserve">3.	</w:t>
      </w:r>
      <w:r>
        <w:rPr>
          <w:b/>
          <w:bCs/>
        </w:rPr>
        <w:t xml:space="preserve">Folgen.</w:t>
      </w:r>
      <w:r>
        <w:t xml:space="preserve"> Kündigt die Produzentin aus wichtigem Grund, den die Abnehmerin zu vertreten hat, oder stellt die Abnehmerin den Verbrauch am Ort der Produktion dauerhaft ein, übernimmt die Abnehmerin die Anlage zum Übernahmewert nach Teil E. Kündigt die Abnehmerin aus wichtigem Grund, den die Produzentin zu vertreten hat, kann sie die Anlage zum Übernahmewert abzüglich [20] % übernehmen oder deren Rückbau auf Kosten der Produzentin verlangen.</w:t>
      </w:r>
    </w:p>
    <w:p>
      <w:pPr>
        <w:pBdr>
          <w:left w:val="single" w:color="0F5C4A" w:sz="18" w:space="6"/>
        </w:pBdr>
        <w:shd w:fill="EEF3F1" w:color="auto" w:val="clear"/>
        <w:spacing w:after="120" w:before="60"/>
        <w:ind w:left="120" w:right="120"/>
      </w:pPr>
      <w:r>
        <w:rPr>
          <w:b/>
          <w:bCs/>
          <w:color w:val="44546A"/>
          <w:sz w:val="19"/>
          <w:szCs w:val="19"/>
        </w:rPr>
        <w:t xml:space="preserve">Erläuterung zu Ziff. 16:</w:t>
      </w:r>
      <w:r>
        <w:rPr>
          <w:color w:val="44546A"/>
          <w:sz w:val="19"/>
          <w:szCs w:val="19"/>
        </w:rPr>
        <w:t xml:space="preserve"> Für die Produzentin und ihre Bank ist entscheidend, dass die Investition auch bei einem Wegzug oder Konkurs der Abnehmerin gedeckt ist. Deshalb sieht das Muster eine Übernahmepflicht vor, die mit Teil E beziffert wird. Für die Abnehmerin begrenzt die Tabelle das Risiko auf einen im Voraus bekannten Betrag.</w:t>
      </w:r>
    </w:p>
    <w:p>
      <w:pPr>
        <w:pStyle w:val="Heading2"/>
      </w:pPr>
      <w:r>
        <w:t xml:space="preserve">17. Wechsel von Eigentum oder Nutzung des Gebäudes</w:t>
      </w:r>
    </w:p>
    <w:p>
      <w:pPr>
        <w:tabs>
          <w:tab w:val="left" w:pos="425"/>
        </w:tabs>
        <w:spacing w:after="60"/>
        <w:ind w:left="425" w:hanging="425"/>
      </w:pPr>
      <w:r>
        <w:t xml:space="preserve">1.	</w:t>
      </w:r>
      <w:r>
        <w:t xml:space="preserve">Veräussert die Grundeigentümerin das Gebäude, überbindet sie diesen Vertrag dem Erwerber; die Dienstbarkeit bleibt bestehen. Die Produzentin kann die Zustimmung zur Überbindung nur aus wichtigem Grund verweigern, insbesondere wenn die Bonität des Erwerbers ungenügend ist.</w:t>
      </w:r>
    </w:p>
    <w:p>
      <w:pPr>
        <w:tabs>
          <w:tab w:val="left" w:pos="425"/>
        </w:tabs>
        <w:spacing w:after="60"/>
        <w:ind w:left="425" w:hanging="425"/>
      </w:pPr>
      <w:r>
        <w:t xml:space="preserve">2.	</w:t>
      </w:r>
      <w:r>
        <w:t xml:space="preserve">Gibt die Abnehmerin die Nutzung des Gebäudes auf, ohne dass ein Nachfolger den Vertrag übernimmt, gilt Ziff. 16 Abs. 3. Die Parteien bemühen sich vorher gemeinsam, einen neuen Abnehmer am Ort der Produktion zu finden.</w:t>
      </w:r>
    </w:p>
    <w:p>
      <w:pPr>
        <w:tabs>
          <w:tab w:val="left" w:pos="425"/>
        </w:tabs>
        <w:spacing w:after="60"/>
        <w:ind w:left="425" w:hanging="425"/>
      </w:pPr>
      <w:r>
        <w:t xml:space="preserve">3.	</w:t>
      </w:r>
      <w:r>
        <w:rPr>
          <w:b/>
          <w:bCs/>
        </w:rPr>
        <w:t xml:space="preserve">[OPTIONAL – Abnehmerin ist Mieterin:]</w:t>
      </w:r>
      <w:r>
        <w:t xml:space="preserve"> Die Grundeigentümerin stimmt dem Bau und Betrieb der Anlage zu. Endet das Mietverhältnis der Abnehmerin, tritt die Grundeigentümerin auf Verlangen der Produzentin als Abnehmerin in diesen Vertrag ein oder übernimmt die Anlage zum Übernahmewert, sofern nicht ein Nachmieter den Vertrag übernimmt.</w:t>
      </w:r>
    </w:p>
    <w:p>
      <w:pPr>
        <w:pStyle w:val="Heading2"/>
      </w:pPr>
      <w:r>
        <w:t xml:space="preserve">18. Rückbau</w:t>
      </w:r>
    </w:p>
    <w:p>
      <w:pPr>
        <w:tabs>
          <w:tab w:val="left" w:pos="425"/>
        </w:tabs>
        <w:spacing w:after="60"/>
        <w:ind w:left="425" w:hanging="425"/>
      </w:pPr>
      <w:r>
        <w:t xml:space="preserve">1.	</w:t>
      </w:r>
      <w:r>
        <w:t xml:space="preserve">Endet der Vertrag, ohne dass die Abnehmerin die Anlage übernimmt, baut die Produzentin die Anlage innert [sechs] Monaten auf eigene Kosten zurück, entsorgt sie fachgerecht und stellt das Dach im Zustand vor dem Bau wieder her, unter Berücksichtigung der normalen Abnützung.</w:t>
      </w:r>
    </w:p>
    <w:p>
      <w:pPr>
        <w:tabs>
          <w:tab w:val="left" w:pos="425"/>
        </w:tabs>
        <w:spacing w:after="60"/>
        <w:ind w:left="425" w:hanging="425"/>
      </w:pPr>
      <w:r>
        <w:t xml:space="preserve">2.	</w:t>
      </w:r>
      <w:r>
        <w:rPr>
          <w:b/>
          <w:bCs/>
        </w:rPr>
        <w:t xml:space="preserve">[OPTIONAL:]</w:t>
      </w:r>
      <w:r>
        <w:t xml:space="preserve"> Zur Sicherung des Rückbaus stellt die Produzentin ab dem [15.] Vertragsjahr eine Bankgarantie oder Bürgschaft über Fr. [●].</w:t>
      </w:r>
    </w:p>
    <w:p>
      <w:pPr>
        <w:tabs>
          <w:tab w:val="left" w:pos="425"/>
        </w:tabs>
        <w:spacing w:after="60"/>
        <w:ind w:left="425" w:hanging="425"/>
      </w:pPr>
      <w:r>
        <w:t xml:space="preserve">3.	</w:t>
      </w:r>
      <w:r>
        <w:t xml:space="preserve">Die Dienstbarkeit wird nach dem Rückbau gelöscht. Die Parteien wirken dabei mit.</w:t>
      </w:r>
    </w:p>
    <w:p>
      <w:pPr>
        <w:pStyle w:val="Heading2"/>
      </w:pPr>
      <w:r>
        <w:t xml:space="preserve">19. Abtretung und Finanzierung</w:t>
      </w:r>
    </w:p>
    <w:p>
      <w:pPr>
        <w:tabs>
          <w:tab w:val="left" w:pos="425"/>
        </w:tabs>
        <w:spacing w:after="60"/>
        <w:ind w:left="425" w:hanging="425"/>
      </w:pPr>
      <w:r>
        <w:t xml:space="preserve">1.	</w:t>
      </w:r>
      <w:r>
        <w:t xml:space="preserve">Rechte und Pflichten aus diesem Vertrag können nur mit Zustimmung der anderen Partei übertragen werden.</w:t>
      </w:r>
    </w:p>
    <w:p>
      <w:pPr>
        <w:tabs>
          <w:tab w:val="left" w:pos="425"/>
        </w:tabs>
        <w:spacing w:after="60"/>
        <w:ind w:left="425" w:hanging="425"/>
      </w:pPr>
      <w:r>
        <w:t xml:space="preserve">2.	</w:t>
      </w:r>
      <w:r>
        <w:t xml:space="preserve">Die Produzentin darf jedoch ohne Zustimmung die Forderungen aus diesem Vertrag zur Sicherung einer Finanzierung abtreten und den Vertrag samt Anlage und Dienstbarkeit an ein mit ihr verbundenes Unternehmen oder an eine finanzierende Bank oder deren Beauftragte übertragen. Sie informiert die Abnehmerin schriftlich.</w:t>
      </w:r>
    </w:p>
    <w:p>
      <w:pPr>
        <w:tabs>
          <w:tab w:val="left" w:pos="425"/>
        </w:tabs>
        <w:spacing w:after="60"/>
        <w:ind w:left="425" w:hanging="425"/>
      </w:pPr>
      <w:r>
        <w:t xml:space="preserve">3.	</w:t>
      </w:r>
      <w:r>
        <w:t xml:space="preserve">Die Abnehmerin erklärt sich bereit, auf Verlangen der finanzierenden Bank eine übliche Bestätigung über den Bestand dieses Vertrags und ein Eintrittsrecht der Bank abzugeben.</w:t>
      </w:r>
    </w:p>
    <w:p>
      <w:pPr>
        <w:pStyle w:val="Heading2"/>
      </w:pPr>
      <w:r>
        <w:t xml:space="preserve">20. Daten und Vertraulichkeit</w:t>
      </w:r>
    </w:p>
    <w:p>
      <w:pPr>
        <w:tabs>
          <w:tab w:val="left" w:pos="425"/>
        </w:tabs>
        <w:spacing w:after="60"/>
        <w:ind w:left="425" w:hanging="425"/>
      </w:pPr>
      <w:r>
        <w:t xml:space="preserve">1.	</w:t>
      </w:r>
      <w:r>
        <w:t xml:space="preserve">Die Produzentin bearbeitet Mess- und Betriebsdaten nur zur Erfüllung dieses Vertrags, für Meldungen an Behörden, Netzbetreiber und das Herkunftsnachweissystem sowie für anonymisierte Auswertungen. Lastgangdaten der Abnehmerin gibt sie nicht an Dritte weiter, ausser an Auftragsbearbeiter und an die finanzierende Bank in aggregierter Form.</w:t>
      </w:r>
    </w:p>
    <w:p>
      <w:pPr>
        <w:tabs>
          <w:tab w:val="left" w:pos="425"/>
        </w:tabs>
        <w:spacing w:after="60"/>
        <w:ind w:left="425" w:hanging="425"/>
      </w:pPr>
      <w:r>
        <w:t xml:space="preserve">2.	</w:t>
      </w:r>
      <w:r>
        <w:t xml:space="preserve">Die Parteien behandeln den Inhalt dieses Vertrags, insbesondere den Preis, vertraulich. Ausgenommen sind Angaben an Behörden, Berater, Banken und potenzielle Erwerber, die ebenfalls zur Vertraulichkeit verpflichtet sind, sowie die Nachhaltigkeitsberichterstattung nach Ziff. 9 Abs. 4.</w:t>
      </w:r>
    </w:p>
    <w:p>
      <w:pPr>
        <w:pStyle w:val="Heading2"/>
      </w:pPr>
      <w:r>
        <w:t xml:space="preserve">21. Änderung der Rechtslage</w:t>
      </w:r>
    </w:p>
    <w:p>
      <w:pPr>
        <w:spacing w:after="120"/>
      </w:pPr>
      <w:r>
        <w:t xml:space="preserve">Ändern sich nach Vertragsschluss gesetzliche oder regulatorische Vorgaben so, dass die Lieferung nach diesem Vertrag nicht mehr zulässig ist oder eine Partei wesentlich schlechter gestellt wird, passen die Parteien den Vertrag nach Treu und Glauben so an, dass sein wirtschaftlicher Zweck möglichst erhalten bleibt. Gelingt dies nicht innert sechs Monaten, gilt Ziff. 16 Abs. 3 sinngemäss mit dem Übernahmewert nach Teil E.</w:t>
      </w:r>
    </w:p>
    <w:p>
      <w:pPr>
        <w:pStyle w:val="Heading2"/>
      </w:pPr>
      <w:r>
        <w:t xml:space="preserve">22. Schlussbestimmungen</w:t>
      </w:r>
    </w:p>
    <w:p>
      <w:pPr>
        <w:tabs>
          <w:tab w:val="left" w:pos="425"/>
        </w:tabs>
        <w:spacing w:after="60"/>
        <w:ind w:left="425" w:hanging="425"/>
      </w:pPr>
      <w:r>
        <w:t xml:space="preserve">1.	</w:t>
      </w:r>
      <w:r>
        <w:t xml:space="preserve">Änderungen und Ergänzungen dieses Vertrags bedürfen der Schriftform.</w:t>
      </w:r>
    </w:p>
    <w:p>
      <w:pPr>
        <w:tabs>
          <w:tab w:val="left" w:pos="425"/>
        </w:tabs>
        <w:spacing w:after="60"/>
        <w:ind w:left="425" w:hanging="425"/>
      </w:pPr>
      <w:r>
        <w:t xml:space="preserve">2.	</w:t>
      </w:r>
      <w:r>
        <w:t xml:space="preserve">Ist eine Bestimmung unwirksam, gilt eine wirksame Bestimmung, die dem wirtschaftlichen Zweck am nächsten kommt.</w:t>
      </w:r>
    </w:p>
    <w:p>
      <w:pPr>
        <w:tabs>
          <w:tab w:val="left" w:pos="425"/>
        </w:tabs>
        <w:spacing w:after="60"/>
        <w:ind w:left="425" w:hanging="425"/>
      </w:pPr>
      <w:r>
        <w:t xml:space="preserve">3.	</w:t>
      </w:r>
      <w:r>
        <w:t xml:space="preserve">Es gilt schweizerisches Recht unter Ausschluss des Wiener Kaufrechts.</w:t>
      </w:r>
    </w:p>
    <w:p>
      <w:pPr>
        <w:tabs>
          <w:tab w:val="left" w:pos="425"/>
        </w:tabs>
        <w:spacing w:after="60"/>
        <w:ind w:left="425" w:hanging="425"/>
      </w:pPr>
      <w:r>
        <w:t xml:space="preserve">4.	</w:t>
      </w:r>
      <w:r>
        <w:rPr>
          <w:b/>
          <w:bCs/>
        </w:rPr>
        <w:t xml:space="preserve">[VARIANTE A:]</w:t>
      </w:r>
      <w:r>
        <w:t xml:space="preserve"> Ausschliesslicher Gerichtsstand ist [Ort]. </w:t>
      </w:r>
      <w:r>
        <w:rPr>
          <w:b/>
          <w:bCs/>
        </w:rPr>
        <w:t xml:space="preserve">[VARIANTE B:]</w:t>
      </w:r>
      <w:r>
        <w:t xml:space="preserve"> Streitigkeiten werden durch ein Schiedsgericht mit Sitz in [Ort] nach den Swiss Rules of International Arbitration entschieden. </w:t>
      </w:r>
      <w:r>
        <w:rPr>
          <w:b/>
          <w:bCs/>
        </w:rPr>
        <w:t xml:space="preserve">[VARIANTE C:]</w:t>
      </w:r>
      <w:r>
        <w:t xml:space="preserve"> Vor der Anrufung eines Gerichts führen die Parteien eine Mediation durch.</w:t>
      </w:r>
    </w:p>
    <w:p>
      <w:pPr>
        <w:tabs>
          <w:tab w:val="left" w:pos="425"/>
        </w:tabs>
        <w:spacing w:after="60"/>
        <w:ind w:left="425" w:hanging="425"/>
      </w:pPr>
      <w:r>
        <w:t xml:space="preserve">5.	</w:t>
      </w:r>
      <w:r>
        <w:t xml:space="preserve">Fachliche Streitigkeiten über Messung, Produktion oder Übernahmewert können die Parteien einer gemeinsam bestimmten Fachperson zur verbindlichen Feststellung vorlegen (Schiedsgutachten).</w:t>
      </w:r>
    </w:p>
    <w:p>
      <w:pPr>
        <w:spacing w:after="120"/>
      </w:pPr>
      <w:r>
        <w:t xml:space="preserve">[Ort], [Datum]</w:t>
      </w:r>
    </w:p>
    <w:p>
      <w:pPr>
        <w:spacing w:after="120"/>
      </w:pPr>
      <w:r>
        <w:t xml:space="preserve">Produzentin: ______________________________</w:t>
      </w:r>
    </w:p>
    <w:p>
      <w:pPr>
        <w:spacing w:after="120"/>
      </w:pPr>
      <w:r>
        <w:t xml:space="preserve">Abnehmerin: ______________________________</w:t>
      </w:r>
    </w:p>
    <w:p>
      <w:pPr>
        <w:spacing w:after="120"/>
      </w:pPr>
      <w:r>
        <w:rPr>
          <w:b/>
          <w:bCs/>
        </w:rPr>
        <w:t xml:space="preserve">[OPTIONAL:]</w:t>
      </w:r>
      <w:r>
        <w:t xml:space="preserve"> Grundeigentümerin: ______________________________</w:t>
      </w:r>
    </w:p>
    <w:p>
      <w:pPr>
        <w:pStyle w:val="Heading1"/>
        <w:pageBreakBefore/>
      </w:pPr>
      <w:r>
        <w:t xml:space="preserve">Teil B – Technisches Anlageblatt</w:t>
      </w:r>
    </w:p>
    <w:p>
      <w:pPr>
        <w:spacing w:after="120"/>
      </w:pPr>
      <w:r>
        <w:rPr>
          <w:b/>
          <w:bCs/>
        </w:rPr>
        <w:t xml:space="preserve">Standort:</w:t>
      </w:r>
      <w:r>
        <w:t xml:space="preserve"> [Gebäude, Adresse, Grundstück Nr.]</w:t>
      </w:r>
    </w:p>
    <w:p>
      <w:pPr>
        <w:spacing w:after="120"/>
      </w:pPr>
      <w:r>
        <w:rPr>
          <w:b/>
          <w:bCs/>
        </w:rPr>
        <w:t xml:space="preserve">Dachflächen:</w:t>
      </w:r>
      <w:r>
        <w:t xml:space="preserve"> [Bezeichnung, Fläche m², Ausrichtung, Neigung] · Plan in der Beilage</w:t>
      </w:r>
    </w:p>
    <w:p>
      <w:pPr>
        <w:spacing w:after="120"/>
      </w:pPr>
      <w:r>
        <w:rPr>
          <w:b/>
          <w:bCs/>
        </w:rPr>
        <w:t xml:space="preserve">Anlage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Merkmal</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Angabe</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Leistung</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kWp (DC) / [●] kVA (AC)</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Module</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[Hersteller, Typ, Anzahl]</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Wechselrichter</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[Hersteller, Typ, Anzahl, Standort]</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Speicher</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[keiner / Typ, Kapazität kWh, Eigentum]</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Übergabestelle</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[z. B. Abgang in der Hauptverteilung, Feld Nr. ●]</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Netzanschlusspunkt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[Messpunkt-ID des Verteilnetzbetreibers]</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Verteilnetzbetreiber</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r>
    </w:tbl>
    <w:p/>
    <w:p>
      <w:pPr>
        <w:spacing w:after="120"/>
      </w:pPr>
      <w:r>
        <w:rPr>
          <w:b/>
          <w:bCs/>
        </w:rPr>
        <w:t xml:space="preserve">Messkonzept:</w:t>
      </w:r>
      <w:r>
        <w:t xml:space="preserve"> Produktionszähler [Nr., Standort] · Netzanschlusszähler des Verteilnetzbetreibers [Nr.] · Berechnung der gelieferten Elektrizität: Produktion minus Einspeisung je Viertelstunde</w:t>
      </w:r>
    </w:p>
    <w:p>
      <w:pPr>
        <w:spacing w:after="120"/>
      </w:pPr>
      <w:r>
        <w:rPr>
          <w:b/>
          <w:bCs/>
        </w:rPr>
        <w:t xml:space="preserve">Erwartete Produktion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Position</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Wert</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Erwartete Jahresproduktion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kWh (Grundlage: [Simulation, Datum])</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Erwarteter Eigenverbrauchsanteil</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Erwartete gelieferte Elektrizität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kWh pro Jahr</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Jährliche Degradation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[0,4] %</w:t>
            </w:r>
          </w:p>
        </w:tc>
      </w:tr>
    </w:tbl>
    <w:p/>
    <w:p>
      <w:pPr>
        <w:spacing w:after="120"/>
      </w:pPr>
      <w:r>
        <w:rPr>
          <w:b/>
          <w:bCs/>
        </w:rPr>
        <w:t xml:space="preserve">Inbetriebnahme:</w:t>
      </w:r>
      <w:r>
        <w:t xml:space="preserve"> geplant [Datum] · erfolgt [Datum, Abnahmeprotokoll]</w:t>
      </w:r>
    </w:p>
    <w:p>
      <w:pPr>
        <w:spacing w:after="120"/>
      </w:pPr>
      <w:r>
        <w:rPr>
          <w:b/>
          <w:bCs/>
        </w:rPr>
        <w:t xml:space="preserve">Ansprechpersonen:</w:t>
      </w:r>
      <w:r>
        <w:t xml:space="preserve"> Produzentin [Name, Kontakt, Störungsnummer] · Abnehmerin [Name, Kontakt]</w:t>
      </w:r>
    </w:p>
    <w:p>
      <w:pPr>
        <w:pStyle w:val="Heading1"/>
        <w:pageBreakBefore/>
      </w:pPr>
      <w:r>
        <w:t xml:space="preserve">Teil C – Preisblatt mit Berechnungsbeispielen</w:t>
      </w:r>
    </w:p>
    <w:p>
      <w:pPr>
        <w:pStyle w:val="Heading2"/>
      </w:pPr>
      <w:r>
        <w:t xml:space="preserve">1. Gewähltes Preismodell</w:t>
      </w:r>
    </w:p>
    <w:p>
      <w:pPr>
        <w:spacing w:after="120"/>
      </w:pPr>
      <w:r>
        <w:rPr>
          <w:b/>
          <w:bCs/>
        </w:rPr>
        <w:t xml:space="preserve">[A / B / C]</w:t>
      </w:r>
      <w:r>
        <w:t xml:space="preserve"> gemäss Teil A Ziff. 7 · Preis im ersten Vertragsjahr: [●] Rp./kWh (ohne MWST)</w:t>
      </w:r>
    </w:p>
    <w:p>
      <w:pPr>
        <w:spacing w:after="120"/>
      </w:pPr>
      <w:r>
        <w:rPr>
          <w:b/>
          <w:bCs/>
        </w:rPr>
        <w:t xml:space="preserve">Offenlegung Förderung:</w:t>
      </w:r>
      <w:r>
        <w:t xml:space="preserve"> Die Produzentin hat eine Einmalvergütung von Fr. [●] </w:t>
      </w:r>
      <w:r>
        <w:rPr>
          <w:b/>
          <w:bCs/>
        </w:rPr>
        <w:t xml:space="preserve">[erhalten / beantragt / nicht beantragt]</w:t>
      </w:r>
      <w:r>
        <w:t xml:space="preserve">. Sie ist im Preis </w:t>
      </w:r>
      <w:r>
        <w:rPr>
          <w:b/>
          <w:bCs/>
        </w:rPr>
        <w:t xml:space="preserve">[berücksichtigt / nicht berücksichtigt]</w:t>
      </w:r>
      <w:r>
        <w:t xml:space="preserve">.</w:t>
      </w:r>
    </w:p>
    <w:p>
      <w:pPr>
        <w:pStyle w:val="Heading2"/>
      </w:pPr>
      <w:r>
        <w:t xml:space="preserve">2. Gemeinsame Annahmen der Beispiele (Zahlen frei gewählt)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Position</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Wert</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Anlage</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300 kWp</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Jahresproduktion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300 000 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Eigenverbrauchsanteil</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80 %</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Gelieferte Elektrizität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240 000 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Arbeitspreis Netzbezug im ersten Jahr (Energie, Netznutzung, Abgaben)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22.00 Rp./kWh</w:t>
            </w:r>
          </w:p>
        </w:tc>
      </w:tr>
    </w:tbl>
    <w:p/>
    <w:p>
      <w:pPr>
        <w:pStyle w:val="Heading2"/>
      </w:pPr>
      <w:r>
        <w:t xml:space="preserve">3. Referenzpreis für Modell C</w:t>
      </w:r>
    </w:p>
    <w:p>
      <w:pPr>
        <w:tabs>
          <w:tab w:val="left" w:pos="425"/>
        </w:tabs>
        <w:spacing w:after="60"/>
        <w:ind w:left="425" w:hanging="425"/>
      </w:pPr>
      <w:r>
        <w:t xml:space="preserve">1.	</w:t>
      </w:r>
      <w:r>
        <w:t xml:space="preserve">Referenzpreis ist der Arbeitspreis pro kWh, den die Abnehmerin im gleichen Zeitraum für den Restbezug bezahlt: Energie, Netznutzung, Abgaben und Leistungen an das Gemeinwesen sowie Netzzuschlag. Leistungspreise, Grund- und Messgebühren werden nicht berücksichtigt.</w:t>
      </w:r>
    </w:p>
    <w:p>
      <w:pPr>
        <w:tabs>
          <w:tab w:val="left" w:pos="425"/>
        </w:tabs>
        <w:spacing w:after="60"/>
        <w:ind w:left="425" w:hanging="425"/>
      </w:pPr>
      <w:r>
        <w:t xml:space="preserve">2.	</w:t>
      </w:r>
      <w:r>
        <w:t xml:space="preserve">Hat der Netzbezug unterschiedliche Tarife nach Tageszeit, wird der Referenzpreis je Viertelstunde mit dem jeweils geltenden Tarif berechnet </w:t>
      </w:r>
      <w:r>
        <w:rPr>
          <w:b/>
          <w:bCs/>
        </w:rPr>
        <w:t xml:space="preserve">[VARIANTE:]</w:t>
      </w:r>
      <w:r>
        <w:t xml:space="preserve"> als mit der gelieferten Elektrizität gewichteter Durchschnitt pro Abrechnungsperiode.</w:t>
      </w:r>
    </w:p>
    <w:p>
      <w:pPr>
        <w:tabs>
          <w:tab w:val="left" w:pos="425"/>
        </w:tabs>
        <w:spacing w:after="60"/>
        <w:ind w:left="425" w:hanging="425"/>
      </w:pPr>
      <w:r>
        <w:t xml:space="preserve">3.	</w:t>
      </w:r>
      <w:r>
        <w:rPr>
          <w:b/>
          <w:bCs/>
        </w:rPr>
        <w:t xml:space="preserve">[VARIANTE A – Abnehmerin in der Grundversorgung:]</w:t>
      </w:r>
      <w:r>
        <w:t xml:space="preserve"> Massgebend sind die veröffentlichten Tarife ihres Verteilnetzbetreibers. </w:t>
      </w:r>
      <w:r>
        <w:rPr>
          <w:b/>
          <w:bCs/>
        </w:rPr>
        <w:t xml:space="preserve">[VARIANTE B – Abnehmerin im freien Markt:]</w:t>
      </w:r>
      <w:r>
        <w:t xml:space="preserve"> Massgebend sind der Energiepreis gemäss ihrem Liefervertrag und die Netztarife des Verteilnetzbetreibers; die Abnehmerin legt die entsprechenden Rechnungen offen. Wechselt sie den Lieferanten, gilt der neue Energiepreis, höchstens jedoch der Energiepreis der Grundversorgung.</w:t>
      </w:r>
    </w:p>
    <w:p>
      <w:pPr>
        <w:pBdr>
          <w:left w:val="single" w:color="0F5C4A" w:sz="18" w:space="6"/>
        </w:pBdr>
        <w:shd w:fill="EEF3F1" w:color="auto" w:val="clear"/>
        <w:spacing w:after="120" w:before="60"/>
        <w:ind w:left="120" w:right="120"/>
      </w:pPr>
      <w:r>
        <w:rPr>
          <w:b/>
          <w:bCs/>
          <w:color w:val="44546A"/>
          <w:sz w:val="19"/>
          <w:szCs w:val="19"/>
        </w:rPr>
        <w:t xml:space="preserve">Erläuterung zu Ziff. 3 Abs. 3:</w:t>
      </w:r>
      <w:r>
        <w:rPr>
          <w:color w:val="44546A"/>
          <w:sz w:val="19"/>
          <w:szCs w:val="19"/>
        </w:rPr>
        <w:t xml:space="preserve"> Im freien Markt kann die Abnehmerin den Referenzpreis durch ihre Beschaffung beeinflussen. Variante B begrenzt das Risiko für die Produzentin mit der Grundversorgung als Obergrenze; der Floor schützt nach unten.</w:t>
      </w:r>
    </w:p>
    <w:p>
      <w:pPr>
        <w:pStyle w:val="Heading2"/>
      </w:pPr>
      <w:r>
        <w:t xml:space="preserve">4. Beispiele für das erste Vertragsjahr</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Modell</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Preis</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Jahresbetrag</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Ersparnis gegenüber Netzbezug</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 – Fixpreis 17.00 Rp.</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17.00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40 800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12 000</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 – Startpreis 15.50 Rp., + 1,5 % pro Jahr</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15.50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37 200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15 600</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 – Rabatt 20 %, Floor 14.00, Cap 20.00 Rp.</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22.00 × 80 % = 17.60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42 240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10 560</w:t>
            </w:r>
          </w:p>
        </w:tc>
      </w:tr>
    </w:tbl>
    <w:p/>
    <w:p>
      <w:pPr>
        <w:spacing w:after="120"/>
      </w:pPr>
      <w:r>
        <w:t xml:space="preserve">Vergleich ohne PPA: 240 000 kWh × 22.00 Rp. = Fr. 52 800.</w:t>
      </w:r>
    </w:p>
    <w:p>
      <w:pPr>
        <w:pStyle w:val="Heading2"/>
      </w:pPr>
      <w:r>
        <w:t xml:space="preserve">5. Modell C bei veränderten Netzpreisen</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Arbeitspreis Netzbezug</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Rechnerischer Preis (−20 %)</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Angewendeter Preis</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Wirkung</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30.00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24.00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20.00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Cap greift, Abnehmerin spart 10.00 Rp./kWh</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22.00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17.60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17.60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Rabatt von 20 %</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16.00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12.80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14.00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Floor greift, Ersparnis nur noch 2.00 Rp./kWh</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13.00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10.40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14.00 Rp./kWh</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Floor greift, PPA teurer als Netzbezug</w:t>
            </w:r>
          </w:p>
        </w:tc>
      </w:tr>
    </w:tbl>
    <w:p/>
    <w:p>
      <w:pPr>
        <w:pBdr>
          <w:left w:val="single" w:color="0F5C4A" w:sz="18" w:space="6"/>
        </w:pBdr>
        <w:shd w:fill="EEF3F1" w:color="auto" w:val="clear"/>
        <w:spacing w:after="120" w:before="60"/>
        <w:ind w:left="120" w:right="120"/>
      </w:pPr>
      <w:r>
        <w:rPr>
          <w:b/>
          <w:bCs/>
          <w:color w:val="44546A"/>
          <w:sz w:val="19"/>
          <w:szCs w:val="19"/>
        </w:rPr>
        <w:t xml:space="preserve">Erläuterung zu Ziff. 5:</w:t>
      </w:r>
      <w:r>
        <w:rPr>
          <w:color w:val="44546A"/>
          <w:sz w:val="19"/>
          <w:szCs w:val="19"/>
        </w:rPr>
        <w:t xml:space="preserve"> Die letzte Zeile zeigt das Risiko der Abnehmerin beim Floor: Fällt der Netzpreis sehr stark, bezahlt sie mehr als beim Netzbezug. Ohne Floor wäre die Anlage für eine Bank kaum finanzierbar. Ein tiefer Floor und ein tiefer Cap sind ein Kompromiss; er sollte anhand von Szenarien für die ganze Laufzeit festgelegt werden.</w:t>
      </w:r>
    </w:p>
    <w:p>
      <w:pPr>
        <w:pStyle w:val="Heading2"/>
      </w:pPr>
      <w:r>
        <w:t xml:space="preserve">6. Modell B über die Laufzeit (Beispiel + 1,5 % pro Jahr)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Vertragsjahr</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Preis</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15.50 Rp./kWh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16.45 Rp./kWh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10</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17.72 Rp./kWh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20</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20.57 Rp./kWh</w:t>
            </w:r>
          </w:p>
        </w:tc>
      </w:tr>
    </w:tbl>
    <w:p/>
    <w:p>
      <w:pPr>
        <w:pStyle w:val="Heading1"/>
        <w:pageBreakBefore/>
      </w:pPr>
      <w:r>
        <w:t xml:space="preserve">Teil D – Eckpunkte der Dienstbarkeit</w:t>
      </w:r>
    </w:p>
    <w:p>
      <w:pPr>
        <w:pBdr>
          <w:left w:val="single" w:color="0F5C4A" w:sz="18" w:space="6"/>
        </w:pBdr>
        <w:shd w:fill="EEF3F1" w:color="auto" w:val="clear"/>
        <w:spacing w:after="120" w:before="60"/>
        <w:ind w:left="120" w:right="120"/>
      </w:pPr>
      <w:r>
        <w:rPr>
          <w:b/>
          <w:bCs/>
          <w:color w:val="44546A"/>
          <w:sz w:val="19"/>
          <w:szCs w:val="19"/>
        </w:rPr>
        <w:t xml:space="preserve">Erläuterung zu Teil D:</w:t>
      </w:r>
      <w:r>
        <w:rPr>
          <w:color w:val="44546A"/>
          <w:sz w:val="19"/>
          <w:szCs w:val="19"/>
        </w:rPr>
        <w:t xml:space="preserve"> Der Vertrag über die Errichtung einer Dienstbarkeit bedarf der öffentlichen Beurkundung (Art. 732 ZGB). Teil D enthält die Eckpunkte, die das Notariat in den Dienstbarkeitsvertrag übernehmen kann. Üblich ist eine übertragbare Personaldienstbarkeit (Art. 781 ZGB) oder ein Baurecht (Art. 779 ff. ZGB), das die Anlage vom Grundeigentum ausnimmt (Art. 675 ZGB). Die Wahl beeinflusst Übertragbarkeit, Finanzierung und Grundbuchkosten und ist mit dem Notariat zu klären.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Eckpunkt</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Inhalt</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Art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[VARIANTE A:]</w:t>
            </w:r>
            <w:r>
              <w:rPr>
                <w:b w:val="false"/>
                <w:bCs w:val="false"/>
                <w:sz w:val="19"/>
                <w:szCs w:val="19"/>
              </w:rPr>
              <w:t xml:space="preserve"> selbständige und übertragbare Personaldienstbarkeit </w:t>
            </w:r>
            <w:r>
              <w:rPr>
                <w:b/>
                <w:bCs/>
                <w:sz w:val="19"/>
                <w:szCs w:val="19"/>
              </w:rPr>
              <w:t xml:space="preserve">[VARIANTE B:]</w:t>
            </w:r>
            <w:r>
              <w:rPr>
                <w:b w:val="false"/>
                <w:bCs w:val="false"/>
                <w:sz w:val="19"/>
                <w:szCs w:val="19"/>
              </w:rPr>
              <w:t xml:space="preserve"> Baurecht für eine Photovoltaikanlage</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Belastetes Grundstück</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Grundstück Nr. [●], Grundbuch [●], Eigentümerin [●]</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Berechtigte</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[Produzentin] und ihre Rechtsnachfolger</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Inhalt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Recht, auf den in Plan [●] bezeichneten Dachflächen eine Photovoltaikanlage samt Leitungen, Wechselrichtern und Messeinrichtungen zu erstellen, zu haben, zu betreiben, zu erneuern und zu entfernen; Zugangsrecht</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Eigentum</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Die Anlage bleibt Eigentum der Berechtigten und wird nicht Bestandteil des Grundstücks</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Dauer</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Laufzeit des Stromliefervertrags zuzüglich [zwei] Jahre, höchstens [30] Jahre</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Entgelt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unentgeltlich (abgegolten im Stromliefervertrag)</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Unterhalt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Die Berechtigte unterhält die Anlage; Schäden am Dach gehen zu ihren Lasten</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Löschung</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Nach Rückbau oder Übernahme der Anlage durch die Grundeigentümerin; Mitwirkungspflicht beider Parteien</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Kosten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Beurkundung und Grundbuch: [Produzentin / je zur Hälfte]</w:t>
            </w:r>
          </w:p>
        </w:tc>
      </w:tr>
    </w:tbl>
    <w:p/>
    <w:p>
      <w:pPr>
        <w:pStyle w:val="Heading1"/>
        <w:pageBreakBefore/>
      </w:pPr>
      <w:r>
        <w:t xml:space="preserve">Teil E – Übernahmewerte</w:t>
      </w:r>
    </w:p>
    <w:p>
      <w:pPr>
        <w:spacing w:after="120"/>
      </w:pPr>
      <w:r>
        <w:t xml:space="preserve">Übernahmewert jeweils per Ende des Vertragsjahres, ohne MWST, zuzüglich allfälliger Ablösekosten der Finanzierung </w:t>
      </w:r>
      <w:r>
        <w:rPr>
          <w:b/>
          <w:bCs/>
        </w:rPr>
        <w:t xml:space="preserve">[OPTIONAL: höchstens Fr. ●]</w:t>
      </w:r>
      <w:r>
        <w:t xml:space="preserv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Ende Vertragsjahr</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Übernahmewert in % der Investitionskosten</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Betrag</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[95] %</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[75] %</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10</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[50] %</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15</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[25] %</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20 (Laufzeitende)</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 % oder Fr. 1.–</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w:t>
            </w:r>
          </w:p>
        </w:tc>
      </w:tr>
    </w:tbl>
    <w:p/>
    <w:p>
      <w:pPr>
        <w:spacing w:after="120"/>
      </w:pPr>
      <w:r>
        <w:t xml:space="preserve">Investitionskosten gemäss Schlussabrechnung der Produzentin: Fr. [●], abzüglich Einmalvergütung Fr. [●]. Zwischenwerte werden linear berechnet.</w:t>
      </w:r>
    </w:p>
    <w:p>
      <w:pPr>
        <w:pBdr>
          <w:left w:val="single" w:color="0F5C4A" w:sz="18" w:space="6"/>
        </w:pBdr>
        <w:shd w:fill="EEF3F1" w:color="auto" w:val="clear"/>
        <w:spacing w:after="120" w:before="60"/>
        <w:ind w:left="120" w:right="120"/>
      </w:pPr>
      <w:r>
        <w:rPr>
          <w:b/>
          <w:bCs/>
          <w:color w:val="44546A"/>
          <w:sz w:val="19"/>
          <w:szCs w:val="19"/>
        </w:rPr>
        <w:t xml:space="preserve">Erläuterung zu Teil E:</w:t>
      </w:r>
      <w:r>
        <w:rPr>
          <w:color w:val="44546A"/>
          <w:sz w:val="19"/>
          <w:szCs w:val="19"/>
        </w:rPr>
        <w:t xml:space="preserve"> Der Übernahmewert soll die noch nicht amortisierte Investition samt angemessener Rendite decken, nicht den entgangenen Gewinn der ganzen Laufzeit. Die Prozentsätze sind Platzhalter und müssen aus dem Finanzierungsmodell der Produzentin abgeleitet werden. Die Abnehmerin sollte die Schlussabrechnung einsehen können.</w:t>
      </w:r>
    </w:p>
    <w:p>
      <w:pPr>
        <w:pStyle w:val="Heading2"/>
      </w:pPr>
      <w:r>
        <w:t xml:space="preserve">Offene Fragen – Rückmeldungen erwünscht</w:t>
      </w:r>
    </w:p>
    <w:p>
      <w:pPr>
        <w:tabs>
          <w:tab w:val="left" w:pos="425"/>
        </w:tabs>
        <w:spacing w:after="60"/>
        <w:ind w:left="425" w:hanging="425"/>
      </w:pPr>
      <w:r>
        <w:t xml:space="preserve">1.	</w:t>
      </w:r>
      <w:r>
        <w:rPr>
          <w:b/>
          <w:bCs/>
        </w:rPr>
        <w:t xml:space="preserve">Ort der Produktion.</w:t>
      </w:r>
      <w:r>
        <w:t xml:space="preserve"> Reichen die Regeln zu Art. 14 EnV (einschliesslich der seit 2025 zulässigen Anschlussleitungen) für Konstellationen mit mehreren Grundstücken oder Gebäuden desselben Unternehmens aus?</w:t>
      </w:r>
    </w:p>
    <w:p>
      <w:pPr>
        <w:tabs>
          <w:tab w:val="left" w:pos="425"/>
        </w:tabs>
        <w:spacing w:after="60"/>
        <w:ind w:left="425" w:hanging="425"/>
      </w:pPr>
      <w:r>
        <w:t xml:space="preserve">2.	</w:t>
      </w:r>
      <w:r>
        <w:rPr>
          <w:b/>
          <w:bCs/>
        </w:rPr>
        <w:t xml:space="preserve">Herkunftsnachweise.</w:t>
      </w:r>
      <w:r>
        <w:t xml:space="preserve"> Wie werden Herkunftsnachweise für vor Ort verbrauchten Strom in der Praxis ausgestellt und übertragen (Teil A Ziff. 9)? Reicht das für die Anrechnung in der Treibhausgasbilanz der Abnehmerin?</w:t>
      </w:r>
    </w:p>
    <w:p>
      <w:pPr>
        <w:tabs>
          <w:tab w:val="left" w:pos="425"/>
        </w:tabs>
        <w:spacing w:after="60"/>
        <w:ind w:left="425" w:hanging="425"/>
      </w:pPr>
      <w:r>
        <w:t xml:space="preserve">3.	</w:t>
      </w:r>
      <w:r>
        <w:rPr>
          <w:b/>
          <w:bCs/>
        </w:rPr>
        <w:t xml:space="preserve">Einspeisevergütung.</w:t>
      </w:r>
      <w:r>
        <w:t xml:space="preserve"> Welche Auswirkungen haben die Regeln zur Vergütung des eingespeisten Stroms ab 2026 (Art. 15 EnG, Minimalvergütung) auf das Preismodell der Produzentin?</w:t>
      </w:r>
    </w:p>
    <w:p>
      <w:pPr>
        <w:tabs>
          <w:tab w:val="left" w:pos="425"/>
        </w:tabs>
        <w:spacing w:after="60"/>
        <w:ind w:left="425" w:hanging="425"/>
      </w:pPr>
      <w:r>
        <w:t xml:space="preserve">4.	</w:t>
      </w:r>
      <w:r>
        <w:rPr>
          <w:b/>
          <w:bCs/>
        </w:rPr>
        <w:t xml:space="preserve">Dienstbarkeit oder Baurecht.</w:t>
      </w:r>
      <w:r>
        <w:t xml:space="preserve"> Was ist in der Praxis und für Banken üblicher? Reicht eine Personaldienstbarkeit, um die Bestandteilseigenschaft sicher auszuschliessen?</w:t>
      </w:r>
    </w:p>
    <w:p>
      <w:pPr>
        <w:tabs>
          <w:tab w:val="left" w:pos="425"/>
        </w:tabs>
        <w:spacing w:after="60"/>
        <w:ind w:left="425" w:hanging="425"/>
      </w:pPr>
      <w:r>
        <w:t xml:space="preserve">5.	</w:t>
      </w:r>
      <w:r>
        <w:rPr>
          <w:b/>
          <w:bCs/>
        </w:rPr>
        <w:t xml:space="preserve">Mehrwertsteuer und Steuern.</w:t>
      </w:r>
      <w:r>
        <w:t xml:space="preserve"> Gibt es Besonderheiten bei der Mehrwertsteuer, der Grundstückgewinnsteuer oder bei kantonalen Abgaben auf vor Ort geliefertem Strom?</w:t>
      </w:r>
    </w:p>
    <w:p>
      <w:pPr>
        <w:tabs>
          <w:tab w:val="left" w:pos="425"/>
        </w:tabs>
        <w:spacing w:after="60"/>
        <w:ind w:left="425" w:hanging="425"/>
      </w:pPr>
      <w:r>
        <w:t xml:space="preserve">6.	</w:t>
      </w:r>
      <w:r>
        <w:rPr>
          <w:b/>
          <w:bCs/>
        </w:rPr>
        <w:t xml:space="preserve">Abnehmerin im ZEV.</w:t>
      </w:r>
      <w:r>
        <w:t xml:space="preserve"> Wie ist der PPA-Preis mit den Preisobergrenzen für Mietparteien abzustimmen, wenn die Abnehmerin den Strom in einem ZEV weitergibt?</w:t>
      </w:r>
    </w:p>
    <w:p>
      <w:pPr>
        <w:tabs>
          <w:tab w:val="left" w:pos="425"/>
        </w:tabs>
        <w:spacing w:after="60"/>
        <w:ind w:left="425" w:hanging="425"/>
      </w:pPr>
      <w:r>
        <w:t xml:space="preserve">7.	</w:t>
      </w:r>
      <w:r>
        <w:rPr>
          <w:b/>
          <w:bCs/>
        </w:rPr>
        <w:t xml:space="preserve">Floor und Cap.</w:t>
      </w:r>
      <w:r>
        <w:t xml:space="preserve"> Welche Spannweiten sind im Schweizer Markt verbreitet? Werden statt fester Floors auch Mindestabnahmemengen vereinbart?</w:t>
      </w:r>
    </w:p>
    <w:p>
      <w:pPr>
        <w:tabs>
          <w:tab w:val="left" w:pos="425"/>
        </w:tabs>
        <w:spacing w:after="60"/>
        <w:ind w:left="425" w:hanging="425"/>
      </w:pPr>
      <w:r>
        <w:t xml:space="preserve">8.	</w:t>
      </w:r>
      <w:r>
        <w:rPr>
          <w:b/>
          <w:bCs/>
        </w:rPr>
        <w:t xml:space="preserve">Konkurs der Abnehmerin.</w:t>
      </w:r>
      <w:r>
        <w:t xml:space="preserve"> Ist die Übernahmepflicht nach Teil A Ziff. 16 Abs. 3 im Konkurs werthaltig, oder braucht es eine Sicherheit der Abnehmerin?</w:t>
      </w:r>
    </w:p>
    <w:p>
      <w:pPr>
        <w:pStyle w:val="Heading2"/>
      </w:pPr>
      <w:r>
        <w:t xml:space="preserve">Anhang – Quellen</w:t>
      </w:r>
    </w:p>
    <w:p>
      <w:pPr>
        <w:pStyle w:val="ListParagraph"/>
        <w:numPr>
          <w:ilvl w:val="0"/>
          <w:numId w:val="2"/>
        </w:numPr>
        <w:spacing w:after="60"/>
      </w:pPr>
      <w:r>
        <w:t xml:space="preserve">Energiegesetz (EnG), SR 730.0, Art. 9, 15, 16</w:t>
      </w:r>
    </w:p>
    <w:p>
      <w:pPr>
        <w:pStyle w:val="ListParagraph"/>
        <w:numPr>
          <w:ilvl w:val="0"/>
          <w:numId w:val="2"/>
        </w:numPr>
        <w:spacing w:after="60"/>
      </w:pPr>
      <w:r>
        <w:t xml:space="preserve">Energieverordnung (EnV), SR 730.01, Art. 1–4, 14, 15</w:t>
      </w:r>
    </w:p>
    <w:p>
      <w:pPr>
        <w:pStyle w:val="ListParagraph"/>
        <w:numPr>
          <w:ilvl w:val="0"/>
          <w:numId w:val="2"/>
        </w:numPr>
        <w:spacing w:after="60"/>
      </w:pPr>
      <w:r>
        <w:t xml:space="preserve">Energieförderungsverordnung (EnFV), SR 730.03</w:t>
      </w:r>
    </w:p>
    <w:p>
      <w:pPr>
        <w:pStyle w:val="ListParagraph"/>
        <w:numPr>
          <w:ilvl w:val="0"/>
          <w:numId w:val="2"/>
        </w:numPr>
        <w:spacing w:after="60"/>
      </w:pPr>
      <w:r>
        <w:t xml:space="preserve">Zivilgesetzbuch (ZGB), Art. 642, 667, 675, 730 ff., 779 ff., 781</w:t>
      </w:r>
    </w:p>
    <w:p>
      <w:pPr>
        <w:pStyle w:val="ListParagraph"/>
        <w:numPr>
          <w:ilvl w:val="0"/>
          <w:numId w:val="2"/>
        </w:numPr>
        <w:spacing w:after="60"/>
      </w:pPr>
      <w:r>
        <w:t xml:space="preserve">Obligationenrecht (OR), Art. 184 ff., 363 ff.</w:t>
      </w:r>
    </w:p>
    <w:p>
      <w:pPr>
        <w:pStyle w:val="ListParagraph"/>
        <w:numPr>
          <w:ilvl w:val="0"/>
          <w:numId w:val="2"/>
        </w:numPr>
        <w:spacing w:after="60"/>
      </w:pPr>
      <w:r>
        <w:t xml:space="preserve">Raumplanungsgesetz (RPG), Art. 18a</w:t>
      </w:r>
    </w:p>
    <w:p>
      <w:pPr>
        <w:pStyle w:val="ListParagraph"/>
        <w:numPr>
          <w:ilvl w:val="0"/>
          <w:numId w:val="2"/>
        </w:numPr>
        <w:spacing w:after="60"/>
      </w:pPr>
      <w:r>
        <w:t xml:space="preserve">EnergieSchweiz, Leitfaden Eigenverbrauch, Version 3.0 (Mai 2023)</w:t>
      </w:r>
    </w:p>
    <w:p>
      <w:pPr>
        <w:pStyle w:val="Heading2"/>
      </w:pPr>
      <w:r>
        <w:t xml:space="preserve">Änderungsverlauf</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Version</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Datum</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Änderung</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0.9</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15. Oktober 2026</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Entwurf zur Diskussion veröffentlicht</w:t>
            </w: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Open Energy Archive · CC BY 4.0 · Keine Rechtsberatung · Seite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5" w:hanging="283"/>
      </w:pPr>
    </w:lvl>
    <w:lvl w:ilvl="1" w:tentative="1">
      <w:start w:val="1"/>
      <w:numFmt w:val="bullet"/>
      <w:lvlText w:val="–"/>
      <w:lvlJc w:val="left"/>
      <w:pPr>
        <w:ind w:left="85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F5C4A"/>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0F5C4A"/>
      <w:sz w:val="22"/>
      <w:szCs w:val="22"/>
    </w:rPr>
  </w:style>
  <w:style w:type="paragraph" w:styleId="Heading4">
    <w:name w:val="Heading 4"/>
    <w:basedOn w:val="Normal"/>
    <w:next w:val="Normal"/>
    <w:qFormat/>
    <w:pPr>
      <w:keepNext/>
      <w:spacing w:after="80" w:before="200"/>
      <w:outlineLvl w:val="3"/>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Mustervertrag: On-site-PPA für eine Photovoltaikanlage</dc:title>
  <dc:creator>Open Energy Archive</dc:creator>
  <dc:description>CC BY 4.0 – Open Energy Archive</dc:description>
  <cp:lastModifiedBy>Un-named</cp:lastModifiedBy>
  <cp:revision>1</cp:revision>
  <dcterms:created xsi:type="dcterms:W3CDTF">2026-10-15T15:26:57.005Z</dcterms:created>
  <dcterms:modified xsi:type="dcterms:W3CDTF">2026-10-15T15:26:57.006Z</dcterms:modified>
</cp:coreProperties>
</file>

<file path=docProps/custom.xml><?xml version="1.0" encoding="utf-8"?>
<Properties xmlns="http://schemas.openxmlformats.org/officeDocument/2006/custom-properties" xmlns:vt="http://schemas.openxmlformats.org/officeDocument/2006/docPropsVTypes"/>
</file>