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40" w:lineRule="exact"/>
        <w:jc w:val="left"/>
      </w:pPr>
      <w:r>
        <w:rPr>
          <w:rFonts w:ascii="Calibri" w:hAnsi="Calibri"/>
          <w:b/>
          <w:i w:val="0"/>
          <w:color w:val="0B6E6E"/>
          <w:sz w:val="28"/>
        </w:rPr>
        <w:t>OPEN EQUINE</w:t>
      </w:r>
    </w:p>
    <w:p>
      <w:pPr>
        <w:spacing w:before="0" w:after="40" w:line="260" w:lineRule="exact"/>
        <w:jc w:val="left"/>
      </w:pPr>
      <w:r>
        <w:rPr>
          <w:rFonts w:ascii="Calibri" w:hAnsi="Calibri"/>
          <w:b/>
          <w:i w:val="0"/>
          <w:color w:val="0D2B4E"/>
          <w:sz w:val="21"/>
        </w:rPr>
        <w:t>Open Equine Intelligence Systems — Horse AI</w:t>
      </w:r>
    </w:p>
    <w:p>
      <w:pPr>
        <w:spacing w:before="0" w:after="40" w:line="260" w:lineRule="exact"/>
        <w:jc w:val="left"/>
      </w:pPr>
      <w:r>
        <w:rPr>
          <w:rFonts w:ascii="Calibri" w:hAnsi="Calibri"/>
          <w:b w:val="0"/>
          <w:i w:val="0"/>
          <w:color w:val="B8974A"/>
          <w:sz w:val="20"/>
        </w:rPr>
        <w:t>A TechXZone Pvt Ltd Initiative</w:t>
      </w:r>
    </w:p>
    <w:p>
      <w:pPr>
        <w:spacing w:before="0" w:after="0" w:line="240" w:lineRule="exact"/>
        <w:jc w:val="left"/>
      </w:pPr>
      <w:r>
        <w:rPr>
          <w:rFonts w:ascii="Calibri" w:hAnsi="Calibri"/>
          <w:b w:val="0"/>
          <w:i w:val="0"/>
          <w:color w:val="5A6472"/>
          <w:sz w:val="18"/>
        </w:rPr>
        <w:t>openequine.org   |   contact@openequine.org</w:t>
      </w:r>
    </w:p>
    <w:p>
      <w:pPr>
        <w:spacing w:before="40" w:after="100"/>
        <w:pBdr>
          <w:bottom w:val="single" w:sz="12" w:space="1" w:color="0B6E6E"/>
        </w:pBdr>
      </w:pPr>
    </w:p>
    <w:p>
      <w:pPr>
        <w:spacing w:before="120" w:after="0" w:line="260" w:lineRule="exact"/>
        <w:jc w:val="center"/>
      </w:pPr>
      <w:r>
        <w:rPr>
          <w:rFonts w:ascii="Calibri" w:hAnsi="Calibri"/>
          <w:b w:val="0"/>
          <w:i w:val="0"/>
          <w:color w:val="5A6472"/>
          <w:sz w:val="20"/>
        </w:rPr>
        <w:t>OE-GL-000</w:t>
      </w:r>
    </w:p>
    <w:p>
      <w:pPr>
        <w:spacing w:before="80" w:after="80" w:line="600" w:lineRule="exact"/>
        <w:jc w:val="center"/>
      </w:pPr>
      <w:r>
        <w:rPr>
          <w:rFonts w:ascii="Times New Roman" w:hAnsi="Times New Roman"/>
          <w:b/>
          <w:i w:val="0"/>
          <w:color w:val="0D2B4E"/>
          <w:sz w:val="48"/>
        </w:rPr>
        <w:t>Definition of Devices Framework</w:t>
      </w:r>
    </w:p>
    <w:p>
      <w:pPr>
        <w:spacing w:before="60" w:after="60" w:line="340" w:lineRule="exact"/>
        <w:jc w:val="center"/>
      </w:pPr>
      <w:r>
        <w:rPr>
          <w:rFonts w:ascii="Times New Roman" w:hAnsi="Times New Roman"/>
          <w:b/>
          <w:i/>
          <w:color w:val="0B6E6E"/>
          <w:sz w:val="26"/>
        </w:rPr>
        <w:t>Intelligent and Biomimetic Systems in Equine Stable Environments</w:t>
      </w:r>
    </w:p>
    <w:p>
      <w:pPr>
        <w:spacing w:before="60" w:after="0" w:line="240" w:lineRule="exact"/>
        <w:jc w:val="center"/>
      </w:pPr>
      <w:r>
        <w:rPr>
          <w:rFonts w:ascii="Calibri" w:hAnsi="Calibri"/>
          <w:b w:val="0"/>
          <w:i w:val="0"/>
          <w:color w:val="5A6472"/>
          <w:sz w:val="19"/>
        </w:rPr>
        <w:t>Version 1.2   |   May 2026</w:t>
      </w:r>
    </w:p>
    <w:p>
      <w:pPr>
        <w:spacing w:before="40" w:after="100"/>
        <w:pBdr>
          <w:bottom w:val="single" w:sz="12" w:space="1" w:color="0B6E6E"/>
        </w:pBdr>
      </w:pPr>
    </w:p>
    <w:p>
      <w:pPr>
        <w:spacing w:before="100" w:after="0" w:line="260" w:lineRule="exact"/>
        <w:jc w:val="both"/>
      </w:pPr>
      <w:r>
        <w:rPr>
          <w:rFonts w:ascii="Times New Roman" w:hAnsi="Times New Roman"/>
          <w:b/>
          <w:i/>
          <w:color w:val="0D2B4E"/>
          <w:sz w:val="20"/>
        </w:rPr>
        <w:t>Abstract—</w:t>
      </w:r>
      <w:r>
        <w:rPr>
          <w:rFonts w:ascii="Times New Roman" w:hAnsi="Times New Roman"/>
          <w:b w:val="0"/>
          <w:i w:val="0"/>
          <w:color w:val="0D2B4E"/>
          <w:sz w:val="20"/>
        </w:rPr>
        <w:t>This document establishes the foundational definitions for all categories of intelligent, autonomous, and biomimetic machines and systems addressed under the Open Equine Intelligence Systems Safety Guidelines Framework. Classification of any device or system is determined by its functional characteristics and environmental interaction profile — not by its commercial designation, intended purpose, or the terminology used by its manufacturer. OE-GL-000 is the entry point for the entire framework. All other guidelines documents reference back to it.</w:t>
      </w:r>
    </w:p>
    <w:p>
      <w:pPr>
        <w:spacing w:before="80" w:after="0" w:line="260" w:lineRule="exact"/>
        <w:jc w:val="both"/>
      </w:pPr>
      <w:r>
        <w:rPr>
          <w:rFonts w:ascii="Times New Roman" w:hAnsi="Times New Roman"/>
          <w:b w:val="0"/>
          <w:i/>
          <w:color w:val="0D2B4E"/>
          <w:sz w:val="20"/>
        </w:rPr>
        <w:t>Keywords—equine safety, humanoid machines, biomimetic robotic systems, autonomous systems, AI, stable environments, device classification</w:t>
      </w:r>
    </w:p>
    <w:p>
      <w:pPr>
        <w:spacing w:before="100" w:after="80"/>
        <w:pBdr>
          <w:bottom w:val="single" w:sz="4" w:space="1" w:color="C9CDD4"/>
        </w:pBdr>
      </w:pPr>
    </w:p>
    <w:tbl>
      <w:tblPr>
        <w:tblStyle w:val="TableGrid"/>
        <w:tblW w:type="auto" w:w="0"/>
        <w:tblLook w:firstColumn="1" w:firstRow="1" w:lastColumn="0" w:lastRow="0" w:noHBand="0" w:noVBand="1" w:val="04A0"/>
      </w:tblPr>
      <w:tblGrid>
        <w:gridCol w:w="4536"/>
        <w:gridCol w:w="4536"/>
      </w:tblGrid>
      <w:tr>
        <w:tc>
          <w:tcPr>
            <w:tcW w:type="dxa" w:w="2835"/>
            <w:shd w:val="clear" w:color="auto" w:fill="0D2B4E"/>
          </w:tcPr>
          <w:p>
            <w:pPr>
              <w:spacing w:before="60" w:after="60"/>
              <w:ind w:left="113"/>
            </w:pPr>
            <w:r>
              <w:rPr>
                <w:rFonts w:ascii="Calibri" w:hAnsi="Calibri"/>
                <w:b/>
                <w:i w:val="0"/>
                <w:color w:val="FFFFFF"/>
                <w:sz w:val="17"/>
              </w:rPr>
              <w:t>Document Reference</w:t>
            </w:r>
          </w:p>
        </w:tc>
        <w:tc>
          <w:tcPr>
            <w:tcW w:type="dxa" w:w="6236"/>
            <w:shd w:val="clear" w:color="auto" w:fill="FFFFFF"/>
          </w:tcPr>
          <w:p>
            <w:pPr>
              <w:spacing w:before="60" w:after="60"/>
              <w:ind w:left="113"/>
            </w:pPr>
            <w:r>
              <w:rPr>
                <w:rFonts w:ascii="Calibri" w:hAnsi="Calibri"/>
                <w:b w:val="0"/>
                <w:i w:val="0"/>
                <w:color w:val="0D2B4E"/>
                <w:sz w:val="17"/>
              </w:rPr>
              <w:t>OE-GL-000</w:t>
            </w:r>
          </w:p>
        </w:tc>
      </w:tr>
      <w:tr>
        <w:tc>
          <w:tcPr>
            <w:tcW w:type="dxa" w:w="2835"/>
            <w:shd w:val="clear" w:color="auto" w:fill="0D2B4E"/>
          </w:tcPr>
          <w:p>
            <w:pPr>
              <w:spacing w:before="60" w:after="60"/>
              <w:ind w:left="113"/>
            </w:pPr>
            <w:r>
              <w:rPr>
                <w:rFonts w:ascii="Calibri" w:hAnsi="Calibri"/>
                <w:b/>
                <w:i w:val="0"/>
                <w:color w:val="FFFFFF"/>
                <w:sz w:val="17"/>
              </w:rPr>
              <w:t>Version</w:t>
            </w:r>
          </w:p>
        </w:tc>
        <w:tc>
          <w:tcPr>
            <w:tcW w:type="dxa" w:w="6236"/>
            <w:shd w:val="clear" w:color="auto" w:fill="F7F8FA"/>
          </w:tcPr>
          <w:p>
            <w:pPr>
              <w:spacing w:before="60" w:after="60"/>
              <w:ind w:left="113"/>
            </w:pPr>
            <w:r>
              <w:rPr>
                <w:rFonts w:ascii="Calibri" w:hAnsi="Calibri"/>
                <w:b w:val="0"/>
                <w:i w:val="0"/>
                <w:color w:val="0D2B4E"/>
                <w:sz w:val="17"/>
              </w:rPr>
              <w:t>1.2 — May 2026</w:t>
            </w:r>
          </w:p>
        </w:tc>
      </w:tr>
      <w:tr>
        <w:tc>
          <w:tcPr>
            <w:tcW w:type="dxa" w:w="2835"/>
            <w:shd w:val="clear" w:color="auto" w:fill="0D2B4E"/>
          </w:tcPr>
          <w:p>
            <w:pPr>
              <w:spacing w:before="60" w:after="60"/>
              <w:ind w:left="113"/>
            </w:pPr>
            <w:r>
              <w:rPr>
                <w:rFonts w:ascii="Calibri" w:hAnsi="Calibri"/>
                <w:b/>
                <w:i w:val="0"/>
                <w:color w:val="FFFFFF"/>
                <w:sz w:val="17"/>
              </w:rPr>
              <w:t>Status</w:t>
            </w:r>
          </w:p>
        </w:tc>
        <w:tc>
          <w:tcPr>
            <w:tcW w:type="dxa" w:w="6236"/>
            <w:shd w:val="clear" w:color="auto" w:fill="FFFFFF"/>
          </w:tcPr>
          <w:p>
            <w:pPr>
              <w:spacing w:before="60" w:after="60"/>
              <w:ind w:left="113"/>
            </w:pPr>
            <w:r>
              <w:rPr>
                <w:rFonts w:ascii="Calibri" w:hAnsi="Calibri"/>
                <w:b w:val="0"/>
                <w:i w:val="0"/>
                <w:color w:val="0D2B4E"/>
                <w:sz w:val="17"/>
              </w:rPr>
              <w:t>Published</w:t>
            </w:r>
          </w:p>
        </w:tc>
      </w:tr>
      <w:tr>
        <w:tc>
          <w:tcPr>
            <w:tcW w:type="dxa" w:w="2835"/>
            <w:shd w:val="clear" w:color="auto" w:fill="0D2B4E"/>
          </w:tcPr>
          <w:p>
            <w:pPr>
              <w:spacing w:before="60" w:after="60"/>
              <w:ind w:left="113"/>
            </w:pPr>
            <w:r>
              <w:rPr>
                <w:rFonts w:ascii="Calibri" w:hAnsi="Calibri"/>
                <w:b/>
                <w:i w:val="0"/>
                <w:color w:val="FFFFFF"/>
                <w:sz w:val="17"/>
              </w:rPr>
              <w:t>Issuing Body</w:t>
            </w:r>
          </w:p>
        </w:tc>
        <w:tc>
          <w:tcPr>
            <w:tcW w:type="dxa" w:w="6236"/>
            <w:shd w:val="clear" w:color="auto" w:fill="F7F8FA"/>
          </w:tcPr>
          <w:p>
            <w:pPr>
              <w:spacing w:before="60" w:after="60"/>
              <w:ind w:left="113"/>
            </w:pPr>
            <w:r>
              <w:rPr>
                <w:rFonts w:ascii="Calibri" w:hAnsi="Calibri"/>
                <w:b w:val="0"/>
                <w:i w:val="0"/>
                <w:color w:val="0D2B4E"/>
                <w:sz w:val="17"/>
              </w:rPr>
              <w:t>Open Equine Intelligence Systems — Horse AI</w:t>
            </w:r>
          </w:p>
        </w:tc>
      </w:tr>
      <w:tr>
        <w:tc>
          <w:tcPr>
            <w:tcW w:type="dxa" w:w="2835"/>
            <w:shd w:val="clear" w:color="auto" w:fill="0D2B4E"/>
          </w:tcPr>
          <w:p>
            <w:pPr>
              <w:spacing w:before="60" w:after="60"/>
              <w:ind w:left="113"/>
            </w:pPr>
            <w:r>
              <w:rPr>
                <w:rFonts w:ascii="Calibri" w:hAnsi="Calibri"/>
                <w:b/>
                <w:i w:val="0"/>
                <w:color w:val="FFFFFF"/>
                <w:sz w:val="17"/>
              </w:rPr>
              <w:t>Organisation</w:t>
            </w:r>
          </w:p>
        </w:tc>
        <w:tc>
          <w:tcPr>
            <w:tcW w:type="dxa" w:w="6236"/>
            <w:shd w:val="clear" w:color="auto" w:fill="FFFFFF"/>
          </w:tcPr>
          <w:p>
            <w:pPr>
              <w:spacing w:before="60" w:after="60"/>
              <w:ind w:left="113"/>
            </w:pPr>
            <w:r>
              <w:rPr>
                <w:rFonts w:ascii="Calibri" w:hAnsi="Calibri"/>
                <w:b w:val="0"/>
                <w:i w:val="0"/>
                <w:color w:val="0D2B4E"/>
                <w:sz w:val="17"/>
              </w:rPr>
              <w:t>A TechXZone Pvt Ltd Initiative</w:t>
            </w:r>
          </w:p>
        </w:tc>
      </w:tr>
      <w:tr>
        <w:tc>
          <w:tcPr>
            <w:tcW w:type="dxa" w:w="2835"/>
            <w:shd w:val="clear" w:color="auto" w:fill="0D2B4E"/>
          </w:tcPr>
          <w:p>
            <w:pPr>
              <w:spacing w:before="60" w:after="60"/>
              <w:ind w:left="113"/>
            </w:pPr>
            <w:r>
              <w:rPr>
                <w:rFonts w:ascii="Calibri" w:hAnsi="Calibri"/>
                <w:b/>
                <w:i w:val="0"/>
                <w:color w:val="FFFFFF"/>
                <w:sz w:val="17"/>
              </w:rPr>
              <w:t>Code Licence</w:t>
            </w:r>
          </w:p>
        </w:tc>
        <w:tc>
          <w:tcPr>
            <w:tcW w:type="dxa" w:w="6236"/>
            <w:shd w:val="clear" w:color="auto" w:fill="F7F8FA"/>
          </w:tcPr>
          <w:p>
            <w:pPr>
              <w:spacing w:before="60" w:after="60"/>
              <w:ind w:left="113"/>
            </w:pPr>
            <w:r>
              <w:rPr>
                <w:rFonts w:ascii="Calibri" w:hAnsi="Calibri"/>
                <w:b w:val="0"/>
                <w:i w:val="0"/>
                <w:color w:val="0D2B4E"/>
                <w:sz w:val="17"/>
              </w:rPr>
              <w:t>AGPLv3 — https://www.gnu.org/licenses/agpl-3.0</w:t>
            </w:r>
          </w:p>
        </w:tc>
      </w:tr>
      <w:tr>
        <w:tc>
          <w:tcPr>
            <w:tcW w:type="dxa" w:w="2835"/>
            <w:shd w:val="clear" w:color="auto" w:fill="0D2B4E"/>
          </w:tcPr>
          <w:p>
            <w:pPr>
              <w:spacing w:before="60" w:after="60"/>
              <w:ind w:left="113"/>
            </w:pPr>
            <w:r>
              <w:rPr>
                <w:rFonts w:ascii="Calibri" w:hAnsi="Calibri"/>
                <w:b/>
                <w:i w:val="0"/>
                <w:color w:val="FFFFFF"/>
                <w:sz w:val="17"/>
              </w:rPr>
              <w:t>Document Licence</w:t>
            </w:r>
          </w:p>
        </w:tc>
        <w:tc>
          <w:tcPr>
            <w:tcW w:type="dxa" w:w="6236"/>
            <w:shd w:val="clear" w:color="auto" w:fill="FFFFFF"/>
          </w:tcPr>
          <w:p>
            <w:pPr>
              <w:spacing w:before="60" w:after="60"/>
              <w:ind w:left="113"/>
            </w:pPr>
            <w:r>
              <w:rPr>
                <w:rFonts w:ascii="Calibri" w:hAnsi="Calibri"/>
                <w:b w:val="0"/>
                <w:i w:val="0"/>
                <w:color w:val="0D2B4E"/>
                <w:sz w:val="17"/>
              </w:rPr>
              <w:t>CC-BY-SA 4.0 — https://creativecommons.org/licenses/by-sa/4.0/legalcode</w:t>
            </w:r>
          </w:p>
        </w:tc>
      </w:tr>
    </w:tbl>
    <w:p>
      <w:r>
        <w:br w:type="page"/>
      </w:r>
    </w:p>
    <w:p>
      <w:pPr>
        <w:keepNext/>
        <w:spacing w:before="400" w:after="60" w:line="420" w:lineRule="exact"/>
        <w:ind w:left="0" w:right="0"/>
        <w:jc w:val="center"/>
      </w:pPr>
      <w:r>
        <w:rPr>
          <w:rFonts w:ascii="Times New Roman" w:hAnsi="Times New Roman"/>
          <w:b/>
          <w:i w:val="0"/>
          <w:color w:val="0D2B4E"/>
          <w:sz w:val="34"/>
        </w:rPr>
        <w:t>I.  ABOUT THIS DOCUMENT</w:t>
      </w:r>
    </w:p>
    <w:p>
      <w:pPr>
        <w:spacing w:before="40" w:after="100"/>
        <w:pBdr>
          <w:bottom w:val="single" w:sz="12" w:space="1" w:color="0B6E6E"/>
        </w:pBdr>
      </w:pPr>
    </w:p>
    <w:p>
      <w:pPr>
        <w:spacing w:before="120" w:after="0" w:line="270" w:lineRule="exact"/>
        <w:ind w:left="0" w:right="0"/>
        <w:jc w:val="both"/>
      </w:pPr>
      <w:r>
        <w:rPr>
          <w:rFonts w:ascii="Times New Roman" w:hAnsi="Times New Roman"/>
          <w:b w:val="0"/>
          <w:i w:val="0"/>
          <w:color w:val="0D2B4E"/>
          <w:sz w:val="21"/>
        </w:rPr>
        <w:t>This document establishes the foundational definitions for all categories of intelligent, autonomous, and biomimetic machines and systems addressed under the Open Equine Intelligence Systems guidelines framework.</w:t>
      </w:r>
    </w:p>
    <w:p>
      <w:pPr>
        <w:spacing w:before="100" w:after="0" w:line="270" w:lineRule="exact"/>
        <w:ind w:left="0" w:right="0"/>
        <w:jc w:val="both"/>
      </w:pPr>
      <w:r>
        <w:rPr>
          <w:rFonts w:ascii="Times New Roman" w:hAnsi="Times New Roman"/>
          <w:b w:val="0"/>
          <w:i w:val="0"/>
          <w:color w:val="0D2B4E"/>
          <w:sz w:val="21"/>
        </w:rPr>
        <w:t>Each category defined here has a dedicated guidelines document within this repository. OE-GL-000 is the entry point for the entire framework. All other documents reference back to it.</w:t>
      </w:r>
    </w:p>
    <w:p>
      <w:pPr>
        <w:spacing w:before="100" w:after="0" w:line="270" w:lineRule="exact"/>
        <w:ind w:left="0" w:right="0"/>
        <w:jc w:val="both"/>
      </w:pPr>
      <w:r>
        <w:rPr>
          <w:rFonts w:ascii="Times New Roman" w:hAnsi="Times New Roman"/>
          <w:b w:val="0"/>
          <w:i w:val="0"/>
          <w:color w:val="0D2B4E"/>
          <w:sz w:val="21"/>
        </w:rPr>
        <w:t>Classification of any device or system under this framework is determined by its functional characteristics and environmental interaction profile — not by its commercial designation, intended purpose, or the terminology used by its manufacturer.</w:t>
      </w:r>
    </w:p>
    <w:p>
      <w:pPr>
        <w:keepNext/>
        <w:spacing w:before="400" w:after="60" w:line="420" w:lineRule="exact"/>
        <w:ind w:left="0" w:right="0"/>
        <w:jc w:val="center"/>
      </w:pPr>
      <w:r>
        <w:rPr>
          <w:rFonts w:ascii="Times New Roman" w:hAnsi="Times New Roman"/>
          <w:b/>
          <w:i w:val="0"/>
          <w:color w:val="0D2B4E"/>
          <w:sz w:val="34"/>
        </w:rPr>
        <w:t>II.  SCOPE OF DEFINITIONS</w:t>
      </w:r>
    </w:p>
    <w:p>
      <w:pPr>
        <w:spacing w:before="40" w:after="100"/>
        <w:pBdr>
          <w:bottom w:val="single" w:sz="12" w:space="1" w:color="0B6E6E"/>
        </w:pBdr>
      </w:pPr>
    </w:p>
    <w:p>
      <w:pPr>
        <w:spacing w:before="120" w:after="0" w:line="270" w:lineRule="exact"/>
        <w:ind w:left="0" w:right="0"/>
        <w:jc w:val="both"/>
      </w:pPr>
      <w:r>
        <w:rPr>
          <w:rFonts w:ascii="Times New Roman" w:hAnsi="Times New Roman"/>
          <w:b w:val="0"/>
          <w:i w:val="0"/>
          <w:color w:val="0D2B4E"/>
          <w:sz w:val="21"/>
        </w:rPr>
        <w:t>The device categories and subcategories defined in this document represent the current known landscape of intelligent, autonomous, and biomimetic systems relevant to equine stable environments. These definitions are followed but not limited to. New device classifications, form factors, and system architectures will emerge as technology evolves. Any device or system not explicitly defined here is to be assessed against the existing category definitions for the closest applicable classification. Where no existing classification applies, the matter is to be logged as a contribution request for inclusion in a future release of this document.</w:t>
      </w:r>
    </w:p>
    <w:p>
      <w:pPr>
        <w:keepNext/>
        <w:spacing w:before="400" w:after="60" w:line="420" w:lineRule="exact"/>
        <w:ind w:left="0" w:right="0"/>
        <w:jc w:val="center"/>
      </w:pPr>
      <w:r>
        <w:rPr>
          <w:rFonts w:ascii="Times New Roman" w:hAnsi="Times New Roman"/>
          <w:b/>
          <w:i w:val="0"/>
          <w:color w:val="0D2B4E"/>
          <w:sz w:val="34"/>
        </w:rPr>
        <w:t>III.  APPLICABILITY TO OTHER DOMESTIC ANIMALS</w:t>
      </w:r>
    </w:p>
    <w:p>
      <w:pPr>
        <w:spacing w:before="40" w:after="100"/>
        <w:pBdr>
          <w:bottom w:val="single" w:sz="12" w:space="1" w:color="0B6E6E"/>
        </w:pBdr>
      </w:pPr>
    </w:p>
    <w:p>
      <w:pPr>
        <w:spacing w:before="120" w:after="0" w:line="270" w:lineRule="exact"/>
        <w:ind w:left="0" w:right="0"/>
        <w:jc w:val="both"/>
      </w:pPr>
      <w:r>
        <w:rPr>
          <w:rFonts w:ascii="Times New Roman" w:hAnsi="Times New Roman"/>
          <w:b w:val="0"/>
          <w:i w:val="0"/>
          <w:color w:val="0D2B4E"/>
          <w:sz w:val="21"/>
        </w:rPr>
        <w:t>The definitions, classifications, and guidelines in this framework are developed in the context of equine stable environments. The underlying principles are applicable across domestic animal environments broadly. Organisations developing safety guidelines for other domestic animals — including bovine, ovine, canine, and other livestock or companion animal environments — are encouraged to reference and adapt this framework. Attribution to Open Equine Intelligence Systems is required under the terms of the CC-BY-SA 4.0 Licence.</w:t>
      </w:r>
    </w:p>
    <w:p>
      <w:pPr>
        <w:keepNext/>
        <w:spacing w:before="400" w:after="60" w:line="420" w:lineRule="exact"/>
        <w:ind w:left="0" w:right="0"/>
        <w:jc w:val="center"/>
      </w:pPr>
      <w:r>
        <w:rPr>
          <w:rFonts w:ascii="Times New Roman" w:hAnsi="Times New Roman"/>
          <w:b/>
          <w:i w:val="0"/>
          <w:color w:val="0D2B4E"/>
          <w:sz w:val="34"/>
        </w:rPr>
        <w:t>IV.  VETERINARY AUTHORITY</w:t>
      </w:r>
    </w:p>
    <w:p>
      <w:pPr>
        <w:spacing w:before="40" w:after="100"/>
        <w:pBdr>
          <w:bottom w:val="single" w:sz="12" w:space="1" w:color="0B6E6E"/>
        </w:pBdr>
      </w:pPr>
    </w:p>
    <w:p>
      <w:pPr>
        <w:spacing w:before="120" w:after="0" w:line="270" w:lineRule="exact"/>
        <w:ind w:left="0" w:right="0"/>
        <w:jc w:val="both"/>
      </w:pPr>
      <w:r>
        <w:rPr>
          <w:rFonts w:ascii="Times New Roman" w:hAnsi="Times New Roman"/>
          <w:b w:val="0"/>
          <w:i w:val="0"/>
          <w:color w:val="0D2B4E"/>
          <w:sz w:val="21"/>
        </w:rPr>
        <w:t>Veterinary professionals hold exclusive authority over all health, medication, and emergency decisions within the equine stable environment. No AI tool, robotic system, biomimetic machine, or algorithmic output constitutes a veterinary decision. All outputs from any system defined in this framework that relate to horse health, medication, or emergency response must be reviewed and approved by a qualified veterinary professional before any action is taken. This authority is non-delegable and cannot be overridden by any technology system defined within this framework.</w:t>
      </w:r>
    </w:p>
    <w:p>
      <w:pPr>
        <w:keepNext/>
        <w:spacing w:before="400" w:after="60" w:line="420" w:lineRule="exact"/>
        <w:ind w:left="0" w:right="0"/>
        <w:jc w:val="center"/>
      </w:pPr>
      <w:r>
        <w:rPr>
          <w:rFonts w:ascii="Times New Roman" w:hAnsi="Times New Roman"/>
          <w:b/>
          <w:i w:val="0"/>
          <w:color w:val="0D2B4E"/>
          <w:sz w:val="34"/>
        </w:rPr>
        <w:t>V.  DEVICE CATEGORIES</w:t>
      </w:r>
    </w:p>
    <w:p>
      <w:pPr>
        <w:spacing w:before="40" w:after="100"/>
        <w:pBdr>
          <w:bottom w:val="single" w:sz="12" w:space="1" w:color="0B6E6E"/>
        </w:pBdr>
      </w:pPr>
    </w:p>
    <w:p>
      <w:pPr>
        <w:keepNext/>
        <w:spacing w:before="280" w:after="80" w:line="360" w:lineRule="exact"/>
        <w:ind w:left="0" w:right="0"/>
        <w:jc w:val="left"/>
      </w:pPr>
      <w:r>
        <w:rPr>
          <w:rFonts w:ascii="Times New Roman" w:hAnsi="Times New Roman"/>
          <w:b/>
          <w:i w:val="0"/>
          <w:color w:val="0D2B4E"/>
          <w:sz w:val="28"/>
        </w:rPr>
        <w:t>1.  Humanoid Machine</w:t>
      </w:r>
    </w:p>
    <w:p>
      <w:pPr>
        <w:spacing w:before="80" w:after="0" w:line="270" w:lineRule="exact"/>
        <w:ind w:left="567" w:right="170"/>
        <w:jc w:val="both"/>
      </w:pPr>
      <w:r>
        <w:rPr>
          <w:rFonts w:ascii="Times New Roman" w:hAnsi="Times New Roman"/>
          <w:b w:val="0"/>
          <w:i w:val="0"/>
          <w:color w:val="0D2B4E"/>
          <w:sz w:val="21"/>
        </w:rPr>
        <w:t>A machine whose physical form and/or locomotion recognisably resembles human anatomy in any part or in whole. Achieves locomotion on two legs. Capable of general-purpose physical task execution across unstructured environments.</w:t>
      </w:r>
    </w:p>
    <w:p>
      <w:pPr>
        <w:spacing w:before="80" w:after="0" w:line="270" w:lineRule="exact"/>
        <w:ind w:left="567" w:right="170"/>
        <w:jc w:val="both"/>
      </w:pPr>
      <w:r>
        <w:rPr>
          <w:rFonts w:ascii="Times New Roman" w:hAnsi="Times New Roman"/>
          <w:b w:val="0"/>
          <w:i w:val="0"/>
          <w:color w:val="0D2B4E"/>
          <w:sz w:val="21"/>
        </w:rPr>
        <w:t>Classification as a Humanoid is determined by physical form and locomotion pattern. Accessories, attachments, tools, or add-on modules do not alter its classification. A Humanoid carrying a tool is a Humanoid. A Humanoid fitted with sensors or limb extensions is a Humanoid.</w:t>
      </w:r>
    </w:p>
    <w:p>
      <w:pPr>
        <w:spacing w:before="120" w:after="120" w:line="260" w:lineRule="exact"/>
        <w:ind w:left="567" w:right="227"/>
        <w:jc w:val="both"/>
        <w:shd w:val="clear" w:color="auto" w:fill="E6F4F4"/>
        <w:pBdr>
          <w:left w:val="single" w:sz="24" w:space="8" w:color="0B6E6E"/>
        </w:pBdr>
      </w:pPr>
      <w:r>
        <w:rPr>
          <w:rFonts w:ascii="Times New Roman" w:hAnsi="Times New Roman"/>
          <w:b w:val="0"/>
          <w:i/>
          <w:color w:val="0D2B4E"/>
          <w:sz w:val="19"/>
        </w:rPr>
        <w:t>Scope Note: A Humanoid machine is also classified as a Biomimetic Robotic System under Section V.2. Both classifications apply simultaneously.</w:t>
      </w:r>
    </w:p>
    <w:p>
      <w:pPr>
        <w:spacing w:before="80" w:after="0" w:line="270" w:lineRule="exact"/>
        <w:ind w:left="567" w:right="170"/>
        <w:jc w:val="both"/>
      </w:pPr>
      <w:r>
        <w:rPr>
          <w:rFonts w:ascii="Times New Roman" w:hAnsi="Times New Roman"/>
          <w:b w:val="0"/>
          <w:i/>
          <w:color w:val="0D2B4E"/>
          <w:sz w:val="21"/>
        </w:rPr>
        <w:t>Examples: Boston Dynamics Atlas, Figure 02, Tesla Optimus, Agility Robotics Digit, Unitree H1, Apptronik Apollo, Sanctuary AI Phoenix.</w:t>
      </w:r>
    </w:p>
    <w:p>
      <w:pPr>
        <w:spacing w:before="80" w:after="0" w:line="270" w:lineRule="exact"/>
        <w:ind w:left="567" w:right="170"/>
        <w:jc w:val="both"/>
      </w:pPr>
      <w:r>
        <w:rPr>
          <w:rFonts w:ascii="Times New Roman" w:hAnsi="Times New Roman"/>
          <w:b w:val="0"/>
          <w:i w:val="0"/>
          <w:color w:val="0D2B4E"/>
          <w:sz w:val="21"/>
        </w:rPr>
        <w:t>Guidelines Document: OE-GL-001 — Safety Guidelines for Humanoid Machines in Equine Stables.</w:t>
      </w:r>
    </w:p>
    <w:p>
      <w:pPr>
        <w:keepNext/>
        <w:spacing w:before="280" w:after="80" w:line="360" w:lineRule="exact"/>
        <w:ind w:left="0" w:right="0"/>
        <w:jc w:val="left"/>
      </w:pPr>
      <w:r>
        <w:rPr>
          <w:rFonts w:ascii="Times New Roman" w:hAnsi="Times New Roman"/>
          <w:b/>
          <w:i w:val="0"/>
          <w:color w:val="0D2B4E"/>
          <w:sz w:val="28"/>
        </w:rPr>
        <w:t>2.  Biomimetic Robotic System (BRS)</w:t>
      </w:r>
    </w:p>
    <w:p>
      <w:pPr>
        <w:spacing w:before="80" w:after="0" w:line="270" w:lineRule="exact"/>
        <w:ind w:left="567" w:right="170"/>
        <w:jc w:val="both"/>
      </w:pPr>
      <w:r>
        <w:rPr>
          <w:rFonts w:ascii="Times New Roman" w:hAnsi="Times New Roman"/>
          <w:b w:val="0"/>
          <w:i w:val="0"/>
          <w:color w:val="0D2B4E"/>
          <w:sz w:val="21"/>
        </w:rPr>
        <w:t>Any autonomous or semi-autonomous machine whose physical form, locomotion pattern, or movement profile replicates or approximates that of a living biological organism. Classification is determined by biological resemblance and movement characteristics, not by intended function or commercial designation.</w:t>
      </w:r>
    </w:p>
    <w:p>
      <w:pPr>
        <w:spacing w:before="60" w:after="0" w:line="270" w:lineRule="exact"/>
        <w:ind w:left="850" w:hanging="283"/>
        <w:jc w:val="both"/>
      </w:pPr>
      <w:r>
        <w:rPr>
          <w:rFonts w:ascii="Times New Roman" w:hAnsi="Times New Roman"/>
          <w:b w:val="0"/>
          <w:i w:val="0"/>
          <w:color w:val="0B6E6E"/>
          <w:sz w:val="21"/>
        </w:rPr>
        <w:t xml:space="preserve">•  </w:t>
      </w:r>
      <w:r>
        <w:rPr>
          <w:rFonts w:ascii="Times New Roman" w:hAnsi="Times New Roman"/>
          <w:b w:val="0"/>
          <w:i w:val="0"/>
          <w:color w:val="0D2B4E"/>
          <w:sz w:val="21"/>
        </w:rPr>
        <w:t>A wheeled cleaning unit is not a BRS.</w:t>
      </w:r>
    </w:p>
    <w:p>
      <w:pPr>
        <w:spacing w:before="60" w:after="0" w:line="270" w:lineRule="exact"/>
        <w:ind w:left="850" w:hanging="283"/>
        <w:jc w:val="both"/>
      </w:pPr>
      <w:r>
        <w:rPr>
          <w:rFonts w:ascii="Times New Roman" w:hAnsi="Times New Roman"/>
          <w:b w:val="0"/>
          <w:i w:val="0"/>
          <w:color w:val="0B6E6E"/>
          <w:sz w:val="21"/>
        </w:rPr>
        <w:t xml:space="preserve">•  </w:t>
      </w:r>
      <w:r>
        <w:rPr>
          <w:rFonts w:ascii="Times New Roman" w:hAnsi="Times New Roman"/>
          <w:b w:val="0"/>
          <w:i w:val="0"/>
          <w:color w:val="0D2B4E"/>
          <w:sz w:val="21"/>
        </w:rPr>
        <w:t>A robotic dog is a BRS.</w:t>
      </w:r>
    </w:p>
    <w:p>
      <w:pPr>
        <w:spacing w:before="60" w:after="0" w:line="270" w:lineRule="exact"/>
        <w:ind w:left="850" w:hanging="283"/>
        <w:jc w:val="both"/>
      </w:pPr>
      <w:r>
        <w:rPr>
          <w:rFonts w:ascii="Times New Roman" w:hAnsi="Times New Roman"/>
          <w:b w:val="0"/>
          <w:i w:val="0"/>
          <w:color w:val="0B6E6E"/>
          <w:sz w:val="21"/>
        </w:rPr>
        <w:t xml:space="preserve">•  </w:t>
      </w:r>
      <w:r>
        <w:rPr>
          <w:rFonts w:ascii="Times New Roman" w:hAnsi="Times New Roman"/>
          <w:b w:val="0"/>
          <w:i w:val="0"/>
          <w:color w:val="0D2B4E"/>
          <w:sz w:val="21"/>
        </w:rPr>
        <w:t>A humanoid machine is a BRS.</w:t>
      </w:r>
    </w:p>
    <w:p>
      <w:pPr>
        <w:keepNext/>
        <w:spacing w:before="160" w:after="60" w:line="300" w:lineRule="exact"/>
        <w:ind w:left="567" w:right="0"/>
        <w:jc w:val="left"/>
      </w:pPr>
      <w:r>
        <w:rPr>
          <w:rFonts w:ascii="Times New Roman" w:hAnsi="Times New Roman"/>
          <w:b/>
          <w:i/>
          <w:color w:val="0B6E6E"/>
          <w:sz w:val="24"/>
        </w:rPr>
        <w:t>BRS-H — Humanoid Biomimetic Systems</w:t>
      </w:r>
    </w:p>
    <w:p>
      <w:pPr>
        <w:spacing w:before="60" w:after="0" w:line="270" w:lineRule="exact"/>
        <w:ind w:left="1134" w:right="170"/>
        <w:jc w:val="both"/>
      </w:pPr>
      <w:r>
        <w:rPr>
          <w:rFonts w:ascii="Times New Roman" w:hAnsi="Times New Roman"/>
          <w:b w:val="0"/>
          <w:i w:val="0"/>
          <w:color w:val="0D2B4E"/>
          <w:sz w:val="21"/>
        </w:rPr>
        <w:t>Machines replicating human anatomical form and bipedal locomotion. Classified independently under Section V.1. All BRS guidelines apply in addition to Humanoid-specific guidelines.</w:t>
      </w:r>
    </w:p>
    <w:p>
      <w:pPr>
        <w:keepNext/>
        <w:spacing w:before="160" w:after="60" w:line="300" w:lineRule="exact"/>
        <w:ind w:left="567" w:right="0"/>
        <w:jc w:val="left"/>
      </w:pPr>
      <w:r>
        <w:rPr>
          <w:rFonts w:ascii="Times New Roman" w:hAnsi="Times New Roman"/>
          <w:b/>
          <w:i/>
          <w:color w:val="0B6E6E"/>
          <w:sz w:val="24"/>
        </w:rPr>
        <w:t>BRS-Q — Quadrupedal Biomimetic Systems</w:t>
      </w:r>
    </w:p>
    <w:p>
      <w:pPr>
        <w:spacing w:before="60" w:after="0" w:line="270" w:lineRule="exact"/>
        <w:ind w:left="1134" w:right="170"/>
        <w:jc w:val="both"/>
      </w:pPr>
      <w:r>
        <w:rPr>
          <w:rFonts w:ascii="Times New Roman" w:hAnsi="Times New Roman"/>
          <w:b w:val="0"/>
          <w:i w:val="0"/>
          <w:color w:val="0D2B4E"/>
          <w:sz w:val="21"/>
        </w:rPr>
        <w:t>Machines replicating four-limbed animal locomotion. Includes robotic dogs, robotic horses, and any quadrupedal machine.</w:t>
      </w:r>
    </w:p>
    <w:p>
      <w:pPr>
        <w:spacing w:before="120" w:after="120" w:line="260" w:lineRule="exact"/>
        <w:ind w:left="567" w:right="227"/>
        <w:jc w:val="both"/>
        <w:shd w:val="clear" w:color="auto" w:fill="FFF3F3"/>
        <w:pBdr>
          <w:left w:val="single" w:sz="24" w:space="8" w:color="B00020"/>
        </w:pBdr>
      </w:pPr>
      <w:r>
        <w:rPr>
          <w:rFonts w:ascii="Times New Roman" w:hAnsi="Times New Roman"/>
          <w:b/>
          <w:i w:val="0"/>
          <w:color w:val="B00020"/>
          <w:sz w:val="19"/>
        </w:rPr>
        <w:t xml:space="preserve">Critical Note: </w:t>
      </w:r>
      <w:r>
        <w:rPr>
          <w:rFonts w:ascii="Times New Roman" w:hAnsi="Times New Roman"/>
          <w:b w:val="0"/>
          <w:i w:val="0"/>
          <w:color w:val="0D2B4E"/>
          <w:sz w:val="19"/>
        </w:rPr>
        <w:t>A robotic horse deployed in an active stable environment presents a specific and serious safety concern. No robotic horse or equine-form BRS is to be deployed in an active horse-occupied stable zone under any circumstances.</w:t>
      </w:r>
    </w:p>
    <w:p>
      <w:pPr>
        <w:spacing w:before="60" w:after="0" w:line="270" w:lineRule="exact"/>
        <w:ind w:left="1134" w:right="170"/>
        <w:jc w:val="both"/>
      </w:pPr>
      <w:r>
        <w:rPr>
          <w:rFonts w:ascii="Times New Roman" w:hAnsi="Times New Roman"/>
          <w:b w:val="0"/>
          <w:i/>
          <w:color w:val="0D2B4E"/>
          <w:sz w:val="21"/>
        </w:rPr>
        <w:t>Examples: Boston Dynamics Spot, Unitree Go2, ANYbotics ANYmal.</w:t>
      </w:r>
    </w:p>
    <w:p>
      <w:pPr>
        <w:keepNext/>
        <w:spacing w:before="160" w:after="60" w:line="300" w:lineRule="exact"/>
        <w:ind w:left="567" w:right="0"/>
        <w:jc w:val="left"/>
      </w:pPr>
      <w:r>
        <w:rPr>
          <w:rFonts w:ascii="Times New Roman" w:hAnsi="Times New Roman"/>
          <w:b/>
          <w:i/>
          <w:color w:val="0B6E6E"/>
          <w:sz w:val="24"/>
        </w:rPr>
        <w:t>BRS-B — Bipedal Non-Humanoid Biomimetic Systems</w:t>
      </w:r>
    </w:p>
    <w:p>
      <w:pPr>
        <w:spacing w:before="60" w:after="0" w:line="270" w:lineRule="exact"/>
        <w:ind w:left="1134" w:right="170"/>
        <w:jc w:val="both"/>
      </w:pPr>
      <w:r>
        <w:rPr>
          <w:rFonts w:ascii="Times New Roman" w:hAnsi="Times New Roman"/>
          <w:b w:val="0"/>
          <w:i w:val="0"/>
          <w:color w:val="0D2B4E"/>
          <w:sz w:val="21"/>
        </w:rPr>
        <w:t>Machines with two-limbed locomotion whose form replicates a biological organism other than a human.</w:t>
      </w:r>
    </w:p>
    <w:p>
      <w:pPr>
        <w:keepNext/>
        <w:spacing w:before="160" w:after="60" w:line="300" w:lineRule="exact"/>
        <w:ind w:left="567" w:right="0"/>
        <w:jc w:val="left"/>
      </w:pPr>
      <w:r>
        <w:rPr>
          <w:rFonts w:ascii="Times New Roman" w:hAnsi="Times New Roman"/>
          <w:b/>
          <w:i/>
          <w:color w:val="0B6E6E"/>
          <w:sz w:val="24"/>
        </w:rPr>
        <w:t>BRS-A — Avian and Small Biomimetic Systems</w:t>
      </w:r>
    </w:p>
    <w:p>
      <w:pPr>
        <w:spacing w:before="60" w:after="0" w:line="270" w:lineRule="exact"/>
        <w:ind w:left="1134" w:right="170"/>
        <w:jc w:val="both"/>
      </w:pPr>
      <w:r>
        <w:rPr>
          <w:rFonts w:ascii="Times New Roman" w:hAnsi="Times New Roman"/>
          <w:b w:val="0"/>
          <w:i w:val="0"/>
          <w:color w:val="0D2B4E"/>
          <w:sz w:val="21"/>
        </w:rPr>
        <w:t>Machines replicating the form or movement of birds, insects, or small animals. Includes robotic birds, insect-scale drones, and any small autonomous system whose movement approximates that of a living creature a horse would encounter in its natural environment.</w:t>
      </w:r>
    </w:p>
    <w:p>
      <w:pPr>
        <w:spacing w:before="80" w:after="0" w:line="270" w:lineRule="exact"/>
        <w:ind w:left="567" w:right="170"/>
        <w:jc w:val="both"/>
      </w:pPr>
      <w:r>
        <w:rPr>
          <w:rFonts w:ascii="Times New Roman" w:hAnsi="Times New Roman"/>
          <w:b w:val="0"/>
          <w:i w:val="0"/>
          <w:color w:val="0D2B4E"/>
          <w:sz w:val="21"/>
        </w:rPr>
        <w:t>Guidelines Document: OE-GL-002 — Safety Guidelines for Biomimetic Robotic Systems in Equine Stables. (In Development)</w:t>
      </w:r>
    </w:p>
    <w:p>
      <w:pPr>
        <w:keepNext/>
        <w:spacing w:before="280" w:after="80" w:line="360" w:lineRule="exact"/>
        <w:ind w:left="0" w:right="0"/>
        <w:jc w:val="left"/>
      </w:pPr>
      <w:r>
        <w:rPr>
          <w:rFonts w:ascii="Times New Roman" w:hAnsi="Times New Roman"/>
          <w:b/>
          <w:i w:val="0"/>
          <w:color w:val="0D2B4E"/>
          <w:sz w:val="28"/>
        </w:rPr>
        <w:t>3.  Aerial Systems</w:t>
      </w:r>
    </w:p>
    <w:p>
      <w:pPr>
        <w:spacing w:before="80" w:after="0" w:line="270" w:lineRule="exact"/>
        <w:ind w:left="567" w:right="170"/>
        <w:jc w:val="both"/>
      </w:pPr>
      <w:r>
        <w:rPr>
          <w:rFonts w:ascii="Times New Roman" w:hAnsi="Times New Roman"/>
          <w:b w:val="0"/>
          <w:i w:val="0"/>
          <w:color w:val="0D2B4E"/>
          <w:sz w:val="21"/>
        </w:rPr>
        <w:t>Any autonomous or remotely operated machine capable of sustained flight within or proximate to a stable environment. Includes fixed-wing UAVs, rotary-wing drones, and hybrid aerial platforms. Aerial systems whose form or flight pattern replicates a biological organism are additionally classified as BRS-A under Section V.2.</w:t>
      </w:r>
    </w:p>
    <w:p>
      <w:pPr>
        <w:keepNext/>
        <w:spacing w:before="160" w:after="60" w:line="300" w:lineRule="exact"/>
        <w:ind w:left="567" w:right="0"/>
        <w:jc w:val="left"/>
      </w:pPr>
      <w:r>
        <w:rPr>
          <w:rFonts w:ascii="Times New Roman" w:hAnsi="Times New Roman"/>
          <w:b/>
          <w:i/>
          <w:color w:val="0B6E6E"/>
          <w:sz w:val="24"/>
        </w:rPr>
        <w:t>AS-S — Surveillance and Monitoring</w:t>
      </w:r>
    </w:p>
    <w:p>
      <w:pPr>
        <w:spacing w:before="60" w:after="0" w:line="270" w:lineRule="exact"/>
        <w:ind w:left="1134" w:right="170"/>
        <w:jc w:val="both"/>
      </w:pPr>
      <w:r>
        <w:rPr>
          <w:rFonts w:ascii="Times New Roman" w:hAnsi="Times New Roman"/>
          <w:b w:val="0"/>
          <w:i w:val="0"/>
          <w:color w:val="0D2B4E"/>
          <w:sz w:val="21"/>
        </w:rPr>
        <w:t>Aerial systems deployed for observation, data collection, and environmental monitoring within or proximate to stable environments.</w:t>
      </w:r>
    </w:p>
    <w:p>
      <w:pPr>
        <w:keepNext/>
        <w:spacing w:before="160" w:after="60" w:line="300" w:lineRule="exact"/>
        <w:ind w:left="567" w:right="0"/>
        <w:jc w:val="left"/>
      </w:pPr>
      <w:r>
        <w:rPr>
          <w:rFonts w:ascii="Times New Roman" w:hAnsi="Times New Roman"/>
          <w:b/>
          <w:i/>
          <w:color w:val="0B6E6E"/>
          <w:sz w:val="24"/>
        </w:rPr>
        <w:t>AS-D — Delivery and Transport</w:t>
      </w:r>
    </w:p>
    <w:p>
      <w:pPr>
        <w:spacing w:before="60" w:after="0" w:line="270" w:lineRule="exact"/>
        <w:ind w:left="1134" w:right="170"/>
        <w:jc w:val="both"/>
      </w:pPr>
      <w:r>
        <w:rPr>
          <w:rFonts w:ascii="Times New Roman" w:hAnsi="Times New Roman"/>
          <w:b w:val="0"/>
          <w:i w:val="0"/>
          <w:color w:val="0D2B4E"/>
          <w:sz w:val="21"/>
        </w:rPr>
        <w:t>Aerial systems deployed for physical payload delivery within or proximate to stable environments.</w:t>
      </w:r>
    </w:p>
    <w:p>
      <w:pPr>
        <w:keepNext/>
        <w:spacing w:before="160" w:after="60" w:line="300" w:lineRule="exact"/>
        <w:ind w:left="567" w:right="0"/>
        <w:jc w:val="left"/>
      </w:pPr>
      <w:r>
        <w:rPr>
          <w:rFonts w:ascii="Times New Roman" w:hAnsi="Times New Roman"/>
          <w:b/>
          <w:i/>
          <w:color w:val="0B6E6E"/>
          <w:sz w:val="24"/>
        </w:rPr>
        <w:t>AS-A — Autonomous Free-Flight</w:t>
      </w:r>
    </w:p>
    <w:p>
      <w:pPr>
        <w:spacing w:before="60" w:after="0" w:line="270" w:lineRule="exact"/>
        <w:ind w:left="1134" w:right="170"/>
        <w:jc w:val="both"/>
      </w:pPr>
      <w:r>
        <w:rPr>
          <w:rFonts w:ascii="Times New Roman" w:hAnsi="Times New Roman"/>
          <w:b w:val="0"/>
          <w:i w:val="0"/>
          <w:color w:val="0D2B4E"/>
          <w:sz w:val="21"/>
        </w:rPr>
        <w:t>Aerial systems operating without continuous human remote control input. Subject to the highest level of restriction within this category.</w:t>
      </w:r>
    </w:p>
    <w:p>
      <w:pPr>
        <w:spacing w:before="80" w:after="0" w:line="270" w:lineRule="exact"/>
        <w:ind w:left="567" w:right="170"/>
        <w:jc w:val="both"/>
      </w:pPr>
      <w:r>
        <w:rPr>
          <w:rFonts w:ascii="Times New Roman" w:hAnsi="Times New Roman"/>
          <w:b w:val="0"/>
          <w:i w:val="0"/>
          <w:color w:val="0D2B4E"/>
          <w:sz w:val="21"/>
        </w:rPr>
        <w:t>Guidelines Document: OE-GL-003 — Safety Guidelines for Aerial Systems in Equine Stables. (In Development)</w:t>
      </w:r>
    </w:p>
    <w:p>
      <w:pPr>
        <w:keepNext/>
        <w:spacing w:before="280" w:after="80" w:line="360" w:lineRule="exact"/>
        <w:ind w:left="0" w:right="0"/>
        <w:jc w:val="left"/>
      </w:pPr>
      <w:r>
        <w:rPr>
          <w:rFonts w:ascii="Times New Roman" w:hAnsi="Times New Roman"/>
          <w:b/>
          <w:i w:val="0"/>
          <w:color w:val="0D2B4E"/>
          <w:sz w:val="28"/>
        </w:rPr>
        <w:t>4.  Ground Autonomous Machines</w:t>
      </w:r>
    </w:p>
    <w:p>
      <w:pPr>
        <w:spacing w:before="80" w:after="0" w:line="270" w:lineRule="exact"/>
        <w:ind w:left="567" w:right="170"/>
        <w:jc w:val="both"/>
      </w:pPr>
      <w:r>
        <w:rPr>
          <w:rFonts w:ascii="Times New Roman" w:hAnsi="Times New Roman"/>
          <w:b w:val="0"/>
          <w:i w:val="0"/>
          <w:color w:val="0D2B4E"/>
          <w:sz w:val="21"/>
        </w:rPr>
        <w:t>Autonomous or semi-autonomous wheeled, tracked, or legged machines that do not replicate biological form. Designed for specific task execution in defined operational zones within stable environments.</w:t>
      </w:r>
    </w:p>
    <w:p>
      <w:pPr>
        <w:keepNext/>
        <w:spacing w:before="160" w:after="60" w:line="300" w:lineRule="exact"/>
        <w:ind w:left="567" w:right="0"/>
        <w:jc w:val="left"/>
      </w:pPr>
      <w:r>
        <w:rPr>
          <w:rFonts w:ascii="Times New Roman" w:hAnsi="Times New Roman"/>
          <w:b/>
          <w:i/>
          <w:color w:val="0B6E6E"/>
          <w:sz w:val="24"/>
        </w:rPr>
        <w:t>GAM-F — Fixed Task Machines</w:t>
      </w:r>
    </w:p>
    <w:p>
      <w:pPr>
        <w:spacing w:before="60" w:after="0" w:line="270" w:lineRule="exact"/>
        <w:ind w:left="1134" w:right="170"/>
        <w:jc w:val="both"/>
      </w:pPr>
      <w:r>
        <w:rPr>
          <w:rFonts w:ascii="Times New Roman" w:hAnsi="Times New Roman"/>
          <w:b w:val="0"/>
          <w:i w:val="0"/>
          <w:color w:val="0D2B4E"/>
          <w:sz w:val="21"/>
        </w:rPr>
        <w:t>Stationary or near-stationary machines executing a single defined function. Includes automated feeders, water management systems, and waste processing units.</w:t>
      </w:r>
    </w:p>
    <w:p>
      <w:pPr>
        <w:keepNext/>
        <w:spacing w:before="160" w:after="60" w:line="300" w:lineRule="exact"/>
        <w:ind w:left="567" w:right="0"/>
        <w:jc w:val="left"/>
      </w:pPr>
      <w:r>
        <w:rPr>
          <w:rFonts w:ascii="Times New Roman" w:hAnsi="Times New Roman"/>
          <w:b/>
          <w:i/>
          <w:color w:val="0B6E6E"/>
          <w:sz w:val="24"/>
        </w:rPr>
        <w:t>GAM-M — Mobile Task Machines</w:t>
      </w:r>
    </w:p>
    <w:p>
      <w:pPr>
        <w:spacing w:before="60" w:after="0" w:line="270" w:lineRule="exact"/>
        <w:ind w:left="1134" w:right="170"/>
        <w:jc w:val="both"/>
      </w:pPr>
      <w:r>
        <w:rPr>
          <w:rFonts w:ascii="Times New Roman" w:hAnsi="Times New Roman"/>
          <w:b w:val="0"/>
          <w:i w:val="0"/>
          <w:color w:val="0D2B4E"/>
          <w:sz w:val="21"/>
        </w:rPr>
        <w:t>Machines with autonomous navigation capability operating on defined paths or within defined zones. Includes stall cleaning robots, equipment transport units, and inspection vehicles.</w:t>
      </w:r>
    </w:p>
    <w:p>
      <w:pPr>
        <w:keepNext/>
        <w:spacing w:before="160" w:after="60" w:line="300" w:lineRule="exact"/>
        <w:ind w:left="567" w:right="0"/>
        <w:jc w:val="left"/>
      </w:pPr>
      <w:r>
        <w:rPr>
          <w:rFonts w:ascii="Times New Roman" w:hAnsi="Times New Roman"/>
          <w:b/>
          <w:i/>
          <w:color w:val="0B6E6E"/>
          <w:sz w:val="24"/>
        </w:rPr>
        <w:t>GAM-I — Integrated Machines</w:t>
      </w:r>
    </w:p>
    <w:p>
      <w:pPr>
        <w:spacing w:before="60" w:after="0" w:line="270" w:lineRule="exact"/>
        <w:ind w:left="1134" w:right="170"/>
        <w:jc w:val="both"/>
      </w:pPr>
      <w:r>
        <w:rPr>
          <w:rFonts w:ascii="Times New Roman" w:hAnsi="Times New Roman"/>
          <w:b w:val="0"/>
          <w:i w:val="0"/>
          <w:color w:val="0D2B4E"/>
          <w:sz w:val="21"/>
        </w:rPr>
        <w:t>Mobile or fixed machines connected to stable management software, AI monitoring systems, or external networks. Subject to algorithmic system guidelines in addition to ground machine guidelines.</w:t>
      </w:r>
    </w:p>
    <w:p>
      <w:pPr>
        <w:spacing w:before="80" w:after="0" w:line="270" w:lineRule="exact"/>
        <w:ind w:left="567" w:right="170"/>
        <w:jc w:val="both"/>
      </w:pPr>
      <w:r>
        <w:rPr>
          <w:rFonts w:ascii="Times New Roman" w:hAnsi="Times New Roman"/>
          <w:b w:val="0"/>
          <w:i w:val="0"/>
          <w:color w:val="0D2B4E"/>
          <w:sz w:val="21"/>
        </w:rPr>
        <w:t>Guidelines Document: OE-GL-004 — Safety Guidelines for Ground Autonomous Machines in Equine Stables. (In Development)</w:t>
      </w:r>
    </w:p>
    <w:p>
      <w:pPr>
        <w:keepNext/>
        <w:spacing w:before="280" w:after="80" w:line="360" w:lineRule="exact"/>
        <w:ind w:left="0" w:right="0"/>
        <w:jc w:val="left"/>
      </w:pPr>
      <w:r>
        <w:rPr>
          <w:rFonts w:ascii="Times New Roman" w:hAnsi="Times New Roman"/>
          <w:b/>
          <w:i w:val="0"/>
          <w:color w:val="0D2B4E"/>
          <w:sz w:val="28"/>
        </w:rPr>
        <w:t>5.  Wearable and Attached Sensor Systems</w:t>
      </w:r>
    </w:p>
    <w:p>
      <w:pPr>
        <w:spacing w:before="80" w:after="0" w:line="270" w:lineRule="exact"/>
        <w:ind w:left="567" w:right="170"/>
        <w:jc w:val="both"/>
      </w:pPr>
      <w:r>
        <w:rPr>
          <w:rFonts w:ascii="Times New Roman" w:hAnsi="Times New Roman"/>
          <w:b w:val="0"/>
          <w:i w:val="0"/>
          <w:color w:val="0D2B4E"/>
          <w:sz w:val="21"/>
        </w:rPr>
        <w:t>Devices physically attached to horses, handlers, or stable infrastructure for data collection, monitoring, or communication purposes. Have no autonomous locomotion.</w:t>
      </w:r>
    </w:p>
    <w:p>
      <w:pPr>
        <w:keepNext/>
        <w:spacing w:before="160" w:after="60" w:line="300" w:lineRule="exact"/>
        <w:ind w:left="567" w:right="0"/>
        <w:jc w:val="left"/>
      </w:pPr>
      <w:r>
        <w:rPr>
          <w:rFonts w:ascii="Times New Roman" w:hAnsi="Times New Roman"/>
          <w:b/>
          <w:i/>
          <w:color w:val="0B6E6E"/>
          <w:sz w:val="24"/>
        </w:rPr>
        <w:t>WSS-E — Equine Attached</w:t>
      </w:r>
    </w:p>
    <w:p>
      <w:pPr>
        <w:spacing w:before="60" w:after="0" w:line="270" w:lineRule="exact"/>
        <w:ind w:left="1134" w:right="170"/>
        <w:jc w:val="both"/>
      </w:pPr>
      <w:r>
        <w:rPr>
          <w:rFonts w:ascii="Times New Roman" w:hAnsi="Times New Roman"/>
          <w:b w:val="0"/>
          <w:i w:val="0"/>
          <w:color w:val="0D2B4E"/>
          <w:sz w:val="21"/>
        </w:rPr>
        <w:t>Devices attached directly to horses. Includes GPS trackers, biometric monitors, gait analysis sensors, and health monitoring devices.</w:t>
      </w:r>
    </w:p>
    <w:p>
      <w:pPr>
        <w:keepNext/>
        <w:spacing w:before="160" w:after="60" w:line="300" w:lineRule="exact"/>
        <w:ind w:left="567" w:right="0"/>
        <w:jc w:val="left"/>
      </w:pPr>
      <w:r>
        <w:rPr>
          <w:rFonts w:ascii="Times New Roman" w:hAnsi="Times New Roman"/>
          <w:b/>
          <w:i/>
          <w:color w:val="0B6E6E"/>
          <w:sz w:val="24"/>
        </w:rPr>
        <w:t>WSS-H — Handler Attached</w:t>
      </w:r>
    </w:p>
    <w:p>
      <w:pPr>
        <w:spacing w:before="60" w:after="0" w:line="270" w:lineRule="exact"/>
        <w:ind w:left="1134" w:right="170"/>
        <w:jc w:val="both"/>
      </w:pPr>
      <w:r>
        <w:rPr>
          <w:rFonts w:ascii="Times New Roman" w:hAnsi="Times New Roman"/>
          <w:b w:val="0"/>
          <w:i w:val="0"/>
          <w:color w:val="0D2B4E"/>
          <w:sz w:val="21"/>
        </w:rPr>
        <w:t>Devices worn or carried by stable personnel during active stable operations.</w:t>
      </w:r>
    </w:p>
    <w:p>
      <w:pPr>
        <w:keepNext/>
        <w:spacing w:before="160" w:after="60" w:line="300" w:lineRule="exact"/>
        <w:ind w:left="567" w:right="0"/>
        <w:jc w:val="left"/>
      </w:pPr>
      <w:r>
        <w:rPr>
          <w:rFonts w:ascii="Times New Roman" w:hAnsi="Times New Roman"/>
          <w:b/>
          <w:i/>
          <w:color w:val="0B6E6E"/>
          <w:sz w:val="24"/>
        </w:rPr>
        <w:t>WSS-I — Infrastructure Attached</w:t>
      </w:r>
    </w:p>
    <w:p>
      <w:pPr>
        <w:spacing w:before="60" w:after="0" w:line="270" w:lineRule="exact"/>
        <w:ind w:left="1134" w:right="170"/>
        <w:jc w:val="both"/>
      </w:pPr>
      <w:r>
        <w:rPr>
          <w:rFonts w:ascii="Times New Roman" w:hAnsi="Times New Roman"/>
          <w:b w:val="0"/>
          <w:i w:val="0"/>
          <w:color w:val="0D2B4E"/>
          <w:sz w:val="21"/>
        </w:rPr>
        <w:t>Sensor systems fixed to stable structures, gates, stall walls, or equipment.</w:t>
      </w:r>
    </w:p>
    <w:p>
      <w:pPr>
        <w:spacing w:before="80" w:after="0" w:line="270" w:lineRule="exact"/>
        <w:ind w:left="567" w:right="170"/>
        <w:jc w:val="both"/>
      </w:pPr>
      <w:r>
        <w:rPr>
          <w:rFonts w:ascii="Times New Roman" w:hAnsi="Times New Roman"/>
          <w:b w:val="0"/>
          <w:i w:val="0"/>
          <w:color w:val="0D2B4E"/>
          <w:sz w:val="21"/>
        </w:rPr>
        <w:t>Guidelines Document: OE-GL-005 — Safety Guidelines for Wearable and Attached Sensor Systems in Equine Stables. (In Development)</w:t>
      </w:r>
    </w:p>
    <w:p>
      <w:pPr>
        <w:keepNext/>
        <w:spacing w:before="280" w:after="80" w:line="360" w:lineRule="exact"/>
        <w:ind w:left="0" w:right="0"/>
        <w:jc w:val="left"/>
      </w:pPr>
      <w:r>
        <w:rPr>
          <w:rFonts w:ascii="Times New Roman" w:hAnsi="Times New Roman"/>
          <w:b/>
          <w:i w:val="0"/>
          <w:color w:val="0D2B4E"/>
          <w:sz w:val="28"/>
        </w:rPr>
        <w:t>6.  Stationary Intelligent Systems</w:t>
      </w:r>
    </w:p>
    <w:p>
      <w:pPr>
        <w:spacing w:before="80" w:after="0" w:line="270" w:lineRule="exact"/>
        <w:ind w:left="567" w:right="170"/>
        <w:jc w:val="both"/>
      </w:pPr>
      <w:r>
        <w:rPr>
          <w:rFonts w:ascii="Times New Roman" w:hAnsi="Times New Roman"/>
          <w:b w:val="0"/>
          <w:i w:val="0"/>
          <w:color w:val="0D2B4E"/>
          <w:sz w:val="21"/>
        </w:rPr>
        <w:t>Fixed machines or devices incorporating AI processing capability with no autonomous locomotion. Operate from a fixed position within the stable environment. Includes AI-powered cameras, environmental monitoring systems, automated feeding systems with AI integration, and any fixed device capable of autonomous decision output.</w:t>
      </w:r>
    </w:p>
    <w:p>
      <w:pPr>
        <w:spacing w:before="80" w:after="0" w:line="270" w:lineRule="exact"/>
        <w:ind w:left="567" w:right="170"/>
        <w:jc w:val="both"/>
      </w:pPr>
      <w:r>
        <w:rPr>
          <w:rFonts w:ascii="Times New Roman" w:hAnsi="Times New Roman"/>
          <w:b w:val="0"/>
          <w:i w:val="0"/>
          <w:color w:val="0D2B4E"/>
          <w:sz w:val="21"/>
        </w:rPr>
        <w:t>Guidelines Document: OE-GL-006 — Safety Guidelines for Stationary Intelligent Systems in Equine Stables. (In Development)</w:t>
      </w:r>
    </w:p>
    <w:p>
      <w:pPr>
        <w:keepNext/>
        <w:spacing w:before="280" w:after="80" w:line="360" w:lineRule="exact"/>
        <w:ind w:left="0" w:right="0"/>
        <w:jc w:val="left"/>
      </w:pPr>
      <w:r>
        <w:rPr>
          <w:rFonts w:ascii="Times New Roman" w:hAnsi="Times New Roman"/>
          <w:b/>
          <w:i w:val="0"/>
          <w:color w:val="0D2B4E"/>
          <w:sz w:val="28"/>
        </w:rPr>
        <w:t>7.  Algorithmic and Software Systems</w:t>
      </w:r>
    </w:p>
    <w:p>
      <w:pPr>
        <w:spacing w:before="80" w:after="0" w:line="270" w:lineRule="exact"/>
        <w:ind w:left="567" w:right="170"/>
        <w:jc w:val="both"/>
      </w:pPr>
      <w:r>
        <w:rPr>
          <w:rFonts w:ascii="Times New Roman" w:hAnsi="Times New Roman"/>
          <w:b w:val="0"/>
          <w:i w:val="0"/>
          <w:color w:val="0D2B4E"/>
          <w:sz w:val="21"/>
        </w:rPr>
        <w:t>Software-only systems with no physical machine presence. Operate on data inputs to produce outputs that inform or influence stable management decisions. Includes health monitoring platforms, feed optimisation systems, training analytics tools, predictive diagnostics, and stable management software with AI integration.</w:t>
      </w:r>
    </w:p>
    <w:p>
      <w:pPr>
        <w:spacing w:before="80" w:after="0" w:line="270" w:lineRule="exact"/>
        <w:ind w:left="567" w:right="170"/>
        <w:jc w:val="both"/>
      </w:pPr>
      <w:r>
        <w:rPr>
          <w:rFonts w:ascii="Times New Roman" w:hAnsi="Times New Roman"/>
          <w:b w:val="0"/>
          <w:i w:val="0"/>
          <w:color w:val="0D2B4E"/>
          <w:sz w:val="21"/>
        </w:rPr>
        <w:t>Algorithmic systems carry no physical risk. Their risk profile is within the domain of decision influence — the degree to which their outputs affect decisions made by human stable management.</w:t>
      </w:r>
    </w:p>
    <w:p>
      <w:pPr>
        <w:spacing w:before="80" w:after="0" w:line="270" w:lineRule="exact"/>
        <w:ind w:left="567" w:right="170"/>
        <w:jc w:val="both"/>
      </w:pPr>
      <w:r>
        <w:rPr>
          <w:rFonts w:ascii="Times New Roman" w:hAnsi="Times New Roman"/>
          <w:b w:val="0"/>
          <w:i w:val="0"/>
          <w:color w:val="0D2B4E"/>
          <w:sz w:val="21"/>
        </w:rPr>
        <w:t>Guidelines Document: OE-GL-007 — Safety Guidelines for Algorithmic and Software Systems in Equine Stables. (In Development)</w:t>
      </w:r>
    </w:p>
    <w:p>
      <w:pPr>
        <w:keepNext/>
        <w:spacing w:before="400" w:after="60" w:line="420" w:lineRule="exact"/>
        <w:ind w:left="0" w:right="0"/>
        <w:jc w:val="center"/>
      </w:pPr>
      <w:r>
        <w:rPr>
          <w:rFonts w:ascii="Times New Roman" w:hAnsi="Times New Roman"/>
          <w:b/>
          <w:i w:val="0"/>
          <w:color w:val="0D2B4E"/>
          <w:sz w:val="34"/>
        </w:rPr>
        <w:t>VI.  REPOSITORY MAP</w:t>
      </w:r>
    </w:p>
    <w:p>
      <w:pPr>
        <w:spacing w:before="40" w:after="100"/>
        <w:pBdr>
          <w:bottom w:val="single" w:sz="12" w:space="1" w:color="0B6E6E"/>
        </w:pBdr>
      </w:pPr>
    </w:p>
    <w:p>
      <w:pPr>
        <w:spacing w:before="120" w:after="0" w:line="270" w:lineRule="exact"/>
        <w:ind w:left="0" w:right="0"/>
        <w:jc w:val="both"/>
      </w:pPr>
      <w:r>
        <w:rPr>
          <w:rFonts w:ascii="Times New Roman" w:hAnsi="Times New Roman"/>
          <w:b w:val="0"/>
          <w:i w:val="0"/>
          <w:color w:val="0D2B4E"/>
          <w:sz w:val="21"/>
        </w:rPr>
        <w:t>All Open Equine Intelligence Systems guidelines documents are held at openequine.org and in this repository. Each document carries its OE-GL reference number.</w:t>
      </w:r>
    </w:p>
    <w:p>
      <w:pPr>
        <w:spacing w:before="80" w:after="0"/>
      </w:pPr>
    </w:p>
    <w:tbl>
      <w:tblPr>
        <w:tblStyle w:val="TableGrid"/>
        <w:tblW w:type="auto" w:w="0"/>
        <w:tblLook w:firstColumn="1" w:firstRow="1" w:lastColumn="0" w:lastRow="0" w:noHBand="0" w:noVBand="1" w:val="04A0"/>
      </w:tblPr>
      <w:tblGrid>
        <w:gridCol w:w="3024"/>
        <w:gridCol w:w="3024"/>
        <w:gridCol w:w="3024"/>
      </w:tblGrid>
      <w:tr>
        <w:tc>
          <w:tcPr>
            <w:tcW w:type="dxa" w:w="1701"/>
            <w:shd w:val="clear" w:color="auto" w:fill="0D2B4E"/>
          </w:tcPr>
          <w:p>
            <w:pPr>
              <w:spacing w:before="60" w:after="60"/>
              <w:ind w:left="113"/>
            </w:pPr>
            <w:r>
              <w:rPr>
                <w:rFonts w:ascii="Calibri" w:hAnsi="Calibri"/>
                <w:b/>
                <w:i w:val="0"/>
                <w:color w:val="FFFFFF"/>
                <w:sz w:val="17"/>
              </w:rPr>
              <w:t>Reference</w:t>
            </w:r>
          </w:p>
        </w:tc>
        <w:tc>
          <w:tcPr>
            <w:tcW w:type="dxa" w:w="5669"/>
            <w:shd w:val="clear" w:color="auto" w:fill="0D2B4E"/>
          </w:tcPr>
          <w:p>
            <w:pPr>
              <w:spacing w:before="60" w:after="60"/>
              <w:ind w:left="113"/>
            </w:pPr>
            <w:r>
              <w:rPr>
                <w:rFonts w:ascii="Calibri" w:hAnsi="Calibri"/>
                <w:b/>
                <w:i w:val="0"/>
                <w:color w:val="FFFFFF"/>
                <w:sz w:val="17"/>
              </w:rPr>
              <w:t>Category</w:t>
            </w:r>
          </w:p>
        </w:tc>
        <w:tc>
          <w:tcPr>
            <w:tcW w:type="dxa" w:w="1701"/>
            <w:shd w:val="clear" w:color="auto" w:fill="0D2B4E"/>
          </w:tcPr>
          <w:p>
            <w:pPr>
              <w:spacing w:before="60" w:after="60"/>
              <w:ind w:left="113"/>
            </w:pPr>
            <w:r>
              <w:rPr>
                <w:rFonts w:ascii="Calibri" w:hAnsi="Calibri"/>
                <w:b/>
                <w:i w:val="0"/>
                <w:color w:val="FFFFFF"/>
                <w:sz w:val="17"/>
              </w:rPr>
              <w:t>Status</w:t>
            </w:r>
          </w:p>
        </w:tc>
      </w:tr>
      <w:tr>
        <w:tc>
          <w:tcPr>
            <w:tcW w:type="dxa" w:w="1701"/>
            <w:shd w:val="clear" w:color="auto" w:fill="E6F4F4"/>
          </w:tcPr>
          <w:p>
            <w:pPr>
              <w:spacing w:before="60" w:after="60"/>
              <w:ind w:left="113"/>
            </w:pPr>
            <w:r>
              <w:rPr>
                <w:rFonts w:ascii="Calibri" w:hAnsi="Calibri"/>
                <w:b/>
                <w:i w:val="0"/>
                <w:color w:val="0B6E6E"/>
                <w:sz w:val="17"/>
              </w:rPr>
              <w:t>OE-GL-000</w:t>
            </w:r>
          </w:p>
        </w:tc>
        <w:tc>
          <w:tcPr>
            <w:tcW w:type="dxa" w:w="5669"/>
            <w:shd w:val="clear" w:color="auto" w:fill="E6F4F4"/>
          </w:tcPr>
          <w:p>
            <w:pPr>
              <w:spacing w:before="60" w:after="60"/>
              <w:ind w:left="113"/>
            </w:pPr>
            <w:r>
              <w:rPr>
                <w:rFonts w:ascii="Calibri" w:hAnsi="Calibri"/>
                <w:b w:val="0"/>
                <w:i w:val="0"/>
                <w:color w:val="0D2B4E"/>
                <w:sz w:val="17"/>
              </w:rPr>
              <w:t>Definition of Devices Framework</w:t>
            </w:r>
          </w:p>
        </w:tc>
        <w:tc>
          <w:tcPr>
            <w:tcW w:type="dxa" w:w="1701"/>
            <w:shd w:val="clear" w:color="auto" w:fill="E6F4F4"/>
          </w:tcPr>
          <w:p>
            <w:pPr>
              <w:spacing w:before="60" w:after="60"/>
              <w:ind w:left="113"/>
            </w:pPr>
            <w:r>
              <w:rPr>
                <w:rFonts w:ascii="Calibri" w:hAnsi="Calibri"/>
                <w:b w:val="0"/>
                <w:i w:val="0"/>
                <w:color w:val="5A6472"/>
                <w:sz w:val="17"/>
              </w:rPr>
              <w:t>Published v1.2</w:t>
            </w:r>
          </w:p>
        </w:tc>
      </w:tr>
      <w:tr>
        <w:tc>
          <w:tcPr>
            <w:tcW w:type="dxa" w:w="1701"/>
            <w:shd w:val="clear" w:color="auto" w:fill="FFFFFF"/>
          </w:tcPr>
          <w:p>
            <w:pPr>
              <w:spacing w:before="60" w:after="60"/>
              <w:ind w:left="113"/>
            </w:pPr>
            <w:r>
              <w:rPr>
                <w:rFonts w:ascii="Calibri" w:hAnsi="Calibri"/>
                <w:b/>
                <w:i w:val="0"/>
                <w:color w:val="0B6E6E"/>
                <w:sz w:val="17"/>
              </w:rPr>
              <w:t>OE-GL-001</w:t>
            </w:r>
          </w:p>
        </w:tc>
        <w:tc>
          <w:tcPr>
            <w:tcW w:type="dxa" w:w="5669"/>
            <w:shd w:val="clear" w:color="auto" w:fill="FFFFFF"/>
          </w:tcPr>
          <w:p>
            <w:pPr>
              <w:spacing w:before="60" w:after="60"/>
              <w:ind w:left="113"/>
            </w:pPr>
            <w:r>
              <w:rPr>
                <w:rFonts w:ascii="Calibri" w:hAnsi="Calibri"/>
                <w:b w:val="0"/>
                <w:i w:val="0"/>
                <w:color w:val="0D2B4E"/>
                <w:sz w:val="17"/>
              </w:rPr>
              <w:t>Humanoid Machines</w:t>
            </w:r>
          </w:p>
        </w:tc>
        <w:tc>
          <w:tcPr>
            <w:tcW w:type="dxa" w:w="1701"/>
            <w:shd w:val="clear" w:color="auto" w:fill="FFFFFF"/>
          </w:tcPr>
          <w:p>
            <w:pPr>
              <w:spacing w:before="60" w:after="60"/>
              <w:ind w:left="113"/>
            </w:pPr>
            <w:r>
              <w:rPr>
                <w:rFonts w:ascii="Calibri" w:hAnsi="Calibri"/>
                <w:b w:val="0"/>
                <w:i w:val="0"/>
                <w:color w:val="5A6472"/>
                <w:sz w:val="17"/>
              </w:rPr>
              <w:t>Published</w:t>
            </w:r>
          </w:p>
        </w:tc>
      </w:tr>
      <w:tr>
        <w:tc>
          <w:tcPr>
            <w:tcW w:type="dxa" w:w="1701"/>
            <w:shd w:val="clear" w:color="auto" w:fill="F7F8FA"/>
          </w:tcPr>
          <w:p>
            <w:pPr>
              <w:spacing w:before="60" w:after="60"/>
              <w:ind w:left="113"/>
            </w:pPr>
            <w:r>
              <w:rPr>
                <w:rFonts w:ascii="Calibri" w:hAnsi="Calibri"/>
                <w:b/>
                <w:i w:val="0"/>
                <w:color w:val="0B6E6E"/>
                <w:sz w:val="17"/>
              </w:rPr>
              <w:t>OE-GL-002</w:t>
            </w:r>
          </w:p>
        </w:tc>
        <w:tc>
          <w:tcPr>
            <w:tcW w:type="dxa" w:w="5669"/>
            <w:shd w:val="clear" w:color="auto" w:fill="F7F8FA"/>
          </w:tcPr>
          <w:p>
            <w:pPr>
              <w:spacing w:before="60" w:after="60"/>
              <w:ind w:left="113"/>
            </w:pPr>
            <w:r>
              <w:rPr>
                <w:rFonts w:ascii="Calibri" w:hAnsi="Calibri"/>
                <w:b w:val="0"/>
                <w:i w:val="0"/>
                <w:color w:val="0D2B4E"/>
                <w:sz w:val="17"/>
              </w:rPr>
              <w:t>Biomimetic Robotic Systems</w:t>
            </w:r>
          </w:p>
        </w:tc>
        <w:tc>
          <w:tcPr>
            <w:tcW w:type="dxa" w:w="1701"/>
            <w:shd w:val="clear" w:color="auto" w:fill="F7F8FA"/>
          </w:tcPr>
          <w:p>
            <w:pPr>
              <w:spacing w:before="60" w:after="60"/>
              <w:ind w:left="113"/>
            </w:pPr>
            <w:r>
              <w:rPr>
                <w:rFonts w:ascii="Calibri" w:hAnsi="Calibri"/>
                <w:b w:val="0"/>
                <w:i w:val="0"/>
                <w:color w:val="5A6472"/>
                <w:sz w:val="17"/>
              </w:rPr>
              <w:t>In Development</w:t>
            </w:r>
          </w:p>
        </w:tc>
      </w:tr>
      <w:tr>
        <w:tc>
          <w:tcPr>
            <w:tcW w:type="dxa" w:w="1701"/>
            <w:shd w:val="clear" w:color="auto" w:fill="FFFFFF"/>
          </w:tcPr>
          <w:p>
            <w:pPr>
              <w:spacing w:before="60" w:after="60"/>
              <w:ind w:left="113"/>
            </w:pPr>
            <w:r>
              <w:rPr>
                <w:rFonts w:ascii="Calibri" w:hAnsi="Calibri"/>
                <w:b/>
                <w:i w:val="0"/>
                <w:color w:val="0B6E6E"/>
                <w:sz w:val="17"/>
              </w:rPr>
              <w:t>OE-GL-003</w:t>
            </w:r>
          </w:p>
        </w:tc>
        <w:tc>
          <w:tcPr>
            <w:tcW w:type="dxa" w:w="5669"/>
            <w:shd w:val="clear" w:color="auto" w:fill="FFFFFF"/>
          </w:tcPr>
          <w:p>
            <w:pPr>
              <w:spacing w:before="60" w:after="60"/>
              <w:ind w:left="113"/>
            </w:pPr>
            <w:r>
              <w:rPr>
                <w:rFonts w:ascii="Calibri" w:hAnsi="Calibri"/>
                <w:b w:val="0"/>
                <w:i w:val="0"/>
                <w:color w:val="0D2B4E"/>
                <w:sz w:val="17"/>
              </w:rPr>
              <w:t>Aerial Systems</w:t>
            </w:r>
          </w:p>
        </w:tc>
        <w:tc>
          <w:tcPr>
            <w:tcW w:type="dxa" w:w="1701"/>
            <w:shd w:val="clear" w:color="auto" w:fill="FFFFFF"/>
          </w:tcPr>
          <w:p>
            <w:pPr>
              <w:spacing w:before="60" w:after="60"/>
              <w:ind w:left="113"/>
            </w:pPr>
            <w:r>
              <w:rPr>
                <w:rFonts w:ascii="Calibri" w:hAnsi="Calibri"/>
                <w:b w:val="0"/>
                <w:i w:val="0"/>
                <w:color w:val="5A6472"/>
                <w:sz w:val="17"/>
              </w:rPr>
              <w:t>In Development</w:t>
            </w:r>
          </w:p>
        </w:tc>
      </w:tr>
      <w:tr>
        <w:tc>
          <w:tcPr>
            <w:tcW w:type="dxa" w:w="1701"/>
            <w:shd w:val="clear" w:color="auto" w:fill="F7F8FA"/>
          </w:tcPr>
          <w:p>
            <w:pPr>
              <w:spacing w:before="60" w:after="60"/>
              <w:ind w:left="113"/>
            </w:pPr>
            <w:r>
              <w:rPr>
                <w:rFonts w:ascii="Calibri" w:hAnsi="Calibri"/>
                <w:b/>
                <w:i w:val="0"/>
                <w:color w:val="0B6E6E"/>
                <w:sz w:val="17"/>
              </w:rPr>
              <w:t>OE-GL-004</w:t>
            </w:r>
          </w:p>
        </w:tc>
        <w:tc>
          <w:tcPr>
            <w:tcW w:type="dxa" w:w="5669"/>
            <w:shd w:val="clear" w:color="auto" w:fill="F7F8FA"/>
          </w:tcPr>
          <w:p>
            <w:pPr>
              <w:spacing w:before="60" w:after="60"/>
              <w:ind w:left="113"/>
            </w:pPr>
            <w:r>
              <w:rPr>
                <w:rFonts w:ascii="Calibri" w:hAnsi="Calibri"/>
                <w:b w:val="0"/>
                <w:i w:val="0"/>
                <w:color w:val="0D2B4E"/>
                <w:sz w:val="17"/>
              </w:rPr>
              <w:t>Ground Autonomous Machines</w:t>
            </w:r>
          </w:p>
        </w:tc>
        <w:tc>
          <w:tcPr>
            <w:tcW w:type="dxa" w:w="1701"/>
            <w:shd w:val="clear" w:color="auto" w:fill="F7F8FA"/>
          </w:tcPr>
          <w:p>
            <w:pPr>
              <w:spacing w:before="60" w:after="60"/>
              <w:ind w:left="113"/>
            </w:pPr>
            <w:r>
              <w:rPr>
                <w:rFonts w:ascii="Calibri" w:hAnsi="Calibri"/>
                <w:b w:val="0"/>
                <w:i w:val="0"/>
                <w:color w:val="5A6472"/>
                <w:sz w:val="17"/>
              </w:rPr>
              <w:t>In Development</w:t>
            </w:r>
          </w:p>
        </w:tc>
      </w:tr>
      <w:tr>
        <w:tc>
          <w:tcPr>
            <w:tcW w:type="dxa" w:w="1701"/>
            <w:shd w:val="clear" w:color="auto" w:fill="FFFFFF"/>
          </w:tcPr>
          <w:p>
            <w:pPr>
              <w:spacing w:before="60" w:after="60"/>
              <w:ind w:left="113"/>
            </w:pPr>
            <w:r>
              <w:rPr>
                <w:rFonts w:ascii="Calibri" w:hAnsi="Calibri"/>
                <w:b/>
                <w:i w:val="0"/>
                <w:color w:val="0B6E6E"/>
                <w:sz w:val="17"/>
              </w:rPr>
              <w:t>OE-GL-005</w:t>
            </w:r>
          </w:p>
        </w:tc>
        <w:tc>
          <w:tcPr>
            <w:tcW w:type="dxa" w:w="5669"/>
            <w:shd w:val="clear" w:color="auto" w:fill="FFFFFF"/>
          </w:tcPr>
          <w:p>
            <w:pPr>
              <w:spacing w:before="60" w:after="60"/>
              <w:ind w:left="113"/>
            </w:pPr>
            <w:r>
              <w:rPr>
                <w:rFonts w:ascii="Calibri" w:hAnsi="Calibri"/>
                <w:b w:val="0"/>
                <w:i w:val="0"/>
                <w:color w:val="0D2B4E"/>
                <w:sz w:val="17"/>
              </w:rPr>
              <w:t>Wearable and Attached Sensor Systems</w:t>
            </w:r>
          </w:p>
        </w:tc>
        <w:tc>
          <w:tcPr>
            <w:tcW w:type="dxa" w:w="1701"/>
            <w:shd w:val="clear" w:color="auto" w:fill="FFFFFF"/>
          </w:tcPr>
          <w:p>
            <w:pPr>
              <w:spacing w:before="60" w:after="60"/>
              <w:ind w:left="113"/>
            </w:pPr>
            <w:r>
              <w:rPr>
                <w:rFonts w:ascii="Calibri" w:hAnsi="Calibri"/>
                <w:b w:val="0"/>
                <w:i w:val="0"/>
                <w:color w:val="5A6472"/>
                <w:sz w:val="17"/>
              </w:rPr>
              <w:t>In Development</w:t>
            </w:r>
          </w:p>
        </w:tc>
      </w:tr>
      <w:tr>
        <w:tc>
          <w:tcPr>
            <w:tcW w:type="dxa" w:w="1701"/>
            <w:shd w:val="clear" w:color="auto" w:fill="F7F8FA"/>
          </w:tcPr>
          <w:p>
            <w:pPr>
              <w:spacing w:before="60" w:after="60"/>
              <w:ind w:left="113"/>
            </w:pPr>
            <w:r>
              <w:rPr>
                <w:rFonts w:ascii="Calibri" w:hAnsi="Calibri"/>
                <w:b/>
                <w:i w:val="0"/>
                <w:color w:val="0B6E6E"/>
                <w:sz w:val="17"/>
              </w:rPr>
              <w:t>OE-GL-006</w:t>
            </w:r>
          </w:p>
        </w:tc>
        <w:tc>
          <w:tcPr>
            <w:tcW w:type="dxa" w:w="5669"/>
            <w:shd w:val="clear" w:color="auto" w:fill="F7F8FA"/>
          </w:tcPr>
          <w:p>
            <w:pPr>
              <w:spacing w:before="60" w:after="60"/>
              <w:ind w:left="113"/>
            </w:pPr>
            <w:r>
              <w:rPr>
                <w:rFonts w:ascii="Calibri" w:hAnsi="Calibri"/>
                <w:b w:val="0"/>
                <w:i w:val="0"/>
                <w:color w:val="0D2B4E"/>
                <w:sz w:val="17"/>
              </w:rPr>
              <w:t>Stationary Intelligent Systems</w:t>
            </w:r>
          </w:p>
        </w:tc>
        <w:tc>
          <w:tcPr>
            <w:tcW w:type="dxa" w:w="1701"/>
            <w:shd w:val="clear" w:color="auto" w:fill="F7F8FA"/>
          </w:tcPr>
          <w:p>
            <w:pPr>
              <w:spacing w:before="60" w:after="60"/>
              <w:ind w:left="113"/>
            </w:pPr>
            <w:r>
              <w:rPr>
                <w:rFonts w:ascii="Calibri" w:hAnsi="Calibri"/>
                <w:b w:val="0"/>
                <w:i w:val="0"/>
                <w:color w:val="5A6472"/>
                <w:sz w:val="17"/>
              </w:rPr>
              <w:t>In Development</w:t>
            </w:r>
          </w:p>
        </w:tc>
      </w:tr>
      <w:tr>
        <w:tc>
          <w:tcPr>
            <w:tcW w:type="dxa" w:w="1701"/>
            <w:shd w:val="clear" w:color="auto" w:fill="FFFFFF"/>
          </w:tcPr>
          <w:p>
            <w:pPr>
              <w:spacing w:before="60" w:after="60"/>
              <w:ind w:left="113"/>
            </w:pPr>
            <w:r>
              <w:rPr>
                <w:rFonts w:ascii="Calibri" w:hAnsi="Calibri"/>
                <w:b/>
                <w:i w:val="0"/>
                <w:color w:val="0B6E6E"/>
                <w:sz w:val="17"/>
              </w:rPr>
              <w:t>OE-GL-007</w:t>
            </w:r>
          </w:p>
        </w:tc>
        <w:tc>
          <w:tcPr>
            <w:tcW w:type="dxa" w:w="5669"/>
            <w:shd w:val="clear" w:color="auto" w:fill="FFFFFF"/>
          </w:tcPr>
          <w:p>
            <w:pPr>
              <w:spacing w:before="60" w:after="60"/>
              <w:ind w:left="113"/>
            </w:pPr>
            <w:r>
              <w:rPr>
                <w:rFonts w:ascii="Calibri" w:hAnsi="Calibri"/>
                <w:b w:val="0"/>
                <w:i w:val="0"/>
                <w:color w:val="0D2B4E"/>
                <w:sz w:val="17"/>
              </w:rPr>
              <w:t>Algorithmic and Software Systems</w:t>
            </w:r>
          </w:p>
        </w:tc>
        <w:tc>
          <w:tcPr>
            <w:tcW w:type="dxa" w:w="1701"/>
            <w:shd w:val="clear" w:color="auto" w:fill="FFFFFF"/>
          </w:tcPr>
          <w:p>
            <w:pPr>
              <w:spacing w:before="60" w:after="60"/>
              <w:ind w:left="113"/>
            </w:pPr>
            <w:r>
              <w:rPr>
                <w:rFonts w:ascii="Calibri" w:hAnsi="Calibri"/>
                <w:b w:val="0"/>
                <w:i w:val="0"/>
                <w:color w:val="5A6472"/>
                <w:sz w:val="17"/>
              </w:rPr>
              <w:t>In Development</w:t>
            </w:r>
          </w:p>
        </w:tc>
      </w:tr>
    </w:tbl>
    <w:p>
      <w:pPr>
        <w:keepNext/>
        <w:spacing w:before="400" w:after="60" w:line="420" w:lineRule="exact"/>
        <w:ind w:left="0" w:right="0"/>
        <w:jc w:val="center"/>
      </w:pPr>
      <w:r>
        <w:rPr>
          <w:rFonts w:ascii="Times New Roman" w:hAnsi="Times New Roman"/>
          <w:b/>
          <w:i w:val="0"/>
          <w:color w:val="0D2B4E"/>
          <w:sz w:val="34"/>
        </w:rPr>
        <w:t>VII.  GOVERNANCE</w:t>
      </w:r>
    </w:p>
    <w:p>
      <w:pPr>
        <w:spacing w:before="40" w:after="100"/>
        <w:pBdr>
          <w:bottom w:val="single" w:sz="12" w:space="1" w:color="0B6E6E"/>
        </w:pBdr>
      </w:pPr>
    </w:p>
    <w:p>
      <w:pPr>
        <w:spacing w:before="80" w:after="0"/>
      </w:pPr>
    </w:p>
    <w:tbl>
      <w:tblPr>
        <w:tblStyle w:val="TableGrid"/>
        <w:tblW w:type="auto" w:w="0"/>
        <w:tblLook w:firstColumn="1" w:firstRow="1" w:lastColumn="0" w:lastRow="0" w:noHBand="0" w:noVBand="1" w:val="04A0"/>
      </w:tblPr>
      <w:tblGrid>
        <w:gridCol w:w="4536"/>
        <w:gridCol w:w="4536"/>
      </w:tblGrid>
      <w:tr>
        <w:tc>
          <w:tcPr>
            <w:tcW w:type="dxa" w:w="2835"/>
            <w:shd w:val="clear" w:color="auto" w:fill="0D2B4E"/>
          </w:tcPr>
          <w:p>
            <w:pPr>
              <w:spacing w:before="60" w:after="60"/>
              <w:ind w:left="113"/>
            </w:pPr>
            <w:r>
              <w:rPr>
                <w:rFonts w:ascii="Calibri" w:hAnsi="Calibri"/>
                <w:b/>
                <w:i w:val="0"/>
                <w:color w:val="FFFFFF"/>
                <w:sz w:val="17"/>
              </w:rPr>
              <w:t>Issuing Body</w:t>
            </w:r>
          </w:p>
        </w:tc>
        <w:tc>
          <w:tcPr>
            <w:tcW w:type="dxa" w:w="6236"/>
            <w:shd w:val="clear" w:color="auto" w:fill="FFFFFF"/>
          </w:tcPr>
          <w:p>
            <w:pPr>
              <w:spacing w:before="60" w:after="60"/>
              <w:ind w:left="113"/>
            </w:pPr>
            <w:r>
              <w:rPr>
                <w:rFonts w:ascii="Calibri" w:hAnsi="Calibri"/>
                <w:b w:val="0"/>
                <w:i w:val="0"/>
                <w:color w:val="0D2B4E"/>
                <w:sz w:val="17"/>
              </w:rPr>
              <w:t>Open Equine Intelligence Systems — Horse AI</w:t>
            </w:r>
          </w:p>
        </w:tc>
      </w:tr>
      <w:tr>
        <w:tc>
          <w:tcPr>
            <w:tcW w:type="dxa" w:w="2835"/>
            <w:shd w:val="clear" w:color="auto" w:fill="0D2B4E"/>
          </w:tcPr>
          <w:p>
            <w:pPr>
              <w:spacing w:before="60" w:after="60"/>
              <w:ind w:left="113"/>
            </w:pPr>
            <w:r>
              <w:rPr>
                <w:rFonts w:ascii="Calibri" w:hAnsi="Calibri"/>
                <w:b/>
                <w:i w:val="0"/>
                <w:color w:val="FFFFFF"/>
                <w:sz w:val="17"/>
              </w:rPr>
              <w:t>Organisation</w:t>
            </w:r>
          </w:p>
        </w:tc>
        <w:tc>
          <w:tcPr>
            <w:tcW w:type="dxa" w:w="6236"/>
            <w:shd w:val="clear" w:color="auto" w:fill="F7F8FA"/>
          </w:tcPr>
          <w:p>
            <w:pPr>
              <w:spacing w:before="60" w:after="60"/>
              <w:ind w:left="113"/>
            </w:pPr>
            <w:r>
              <w:rPr>
                <w:rFonts w:ascii="Calibri" w:hAnsi="Calibri"/>
                <w:b w:val="0"/>
                <w:i w:val="0"/>
                <w:color w:val="0D2B4E"/>
                <w:sz w:val="17"/>
              </w:rPr>
              <w:t>A TechXZone Pvt Ltd Initiative</w:t>
            </w:r>
          </w:p>
        </w:tc>
      </w:tr>
      <w:tr>
        <w:tc>
          <w:tcPr>
            <w:tcW w:type="dxa" w:w="2835"/>
            <w:shd w:val="clear" w:color="auto" w:fill="0D2B4E"/>
          </w:tcPr>
          <w:p>
            <w:pPr>
              <w:spacing w:before="60" w:after="60"/>
              <w:ind w:left="113"/>
            </w:pPr>
            <w:r>
              <w:rPr>
                <w:rFonts w:ascii="Calibri" w:hAnsi="Calibri"/>
                <w:b/>
                <w:i w:val="0"/>
                <w:color w:val="FFFFFF"/>
                <w:sz w:val="17"/>
              </w:rPr>
              <w:t>Reference</w:t>
            </w:r>
          </w:p>
        </w:tc>
        <w:tc>
          <w:tcPr>
            <w:tcW w:type="dxa" w:w="6236"/>
            <w:shd w:val="clear" w:color="auto" w:fill="FFFFFF"/>
          </w:tcPr>
          <w:p>
            <w:pPr>
              <w:spacing w:before="60" w:after="60"/>
              <w:ind w:left="113"/>
            </w:pPr>
            <w:r>
              <w:rPr>
                <w:rFonts w:ascii="Calibri" w:hAnsi="Calibri"/>
                <w:b w:val="0"/>
                <w:i w:val="0"/>
                <w:color w:val="0D2B4E"/>
                <w:sz w:val="17"/>
              </w:rPr>
              <w:t>OE-GL-000</w:t>
            </w:r>
          </w:p>
        </w:tc>
      </w:tr>
      <w:tr>
        <w:tc>
          <w:tcPr>
            <w:tcW w:type="dxa" w:w="2835"/>
            <w:shd w:val="clear" w:color="auto" w:fill="0D2B4E"/>
          </w:tcPr>
          <w:p>
            <w:pPr>
              <w:spacing w:before="60" w:after="60"/>
              <w:ind w:left="113"/>
            </w:pPr>
            <w:r>
              <w:rPr>
                <w:rFonts w:ascii="Calibri" w:hAnsi="Calibri"/>
                <w:b/>
                <w:i w:val="0"/>
                <w:color w:val="FFFFFF"/>
                <w:sz w:val="17"/>
              </w:rPr>
              <w:t>Version</w:t>
            </w:r>
          </w:p>
        </w:tc>
        <w:tc>
          <w:tcPr>
            <w:tcW w:type="dxa" w:w="6236"/>
            <w:shd w:val="clear" w:color="auto" w:fill="F7F8FA"/>
          </w:tcPr>
          <w:p>
            <w:pPr>
              <w:spacing w:before="60" w:after="60"/>
              <w:ind w:left="113"/>
            </w:pPr>
            <w:r>
              <w:rPr>
                <w:rFonts w:ascii="Calibri" w:hAnsi="Calibri"/>
                <w:b w:val="0"/>
                <w:i w:val="0"/>
                <w:color w:val="0D2B4E"/>
                <w:sz w:val="17"/>
              </w:rPr>
              <w:t>1.2 — May 2026</w:t>
            </w:r>
          </w:p>
        </w:tc>
      </w:tr>
      <w:tr>
        <w:tc>
          <w:tcPr>
            <w:tcW w:type="dxa" w:w="2835"/>
            <w:shd w:val="clear" w:color="auto" w:fill="0D2B4E"/>
          </w:tcPr>
          <w:p>
            <w:pPr>
              <w:spacing w:before="60" w:after="60"/>
              <w:ind w:left="113"/>
            </w:pPr>
            <w:r>
              <w:rPr>
                <w:rFonts w:ascii="Calibri" w:hAnsi="Calibri"/>
                <w:b/>
                <w:i w:val="0"/>
                <w:color w:val="FFFFFF"/>
                <w:sz w:val="17"/>
              </w:rPr>
              <w:t>Release</w:t>
            </w:r>
          </w:p>
        </w:tc>
        <w:tc>
          <w:tcPr>
            <w:tcW w:type="dxa" w:w="6236"/>
            <w:shd w:val="clear" w:color="auto" w:fill="FFFFFF"/>
          </w:tcPr>
          <w:p>
            <w:pPr>
              <w:spacing w:before="60" w:after="60"/>
              <w:ind w:left="113"/>
            </w:pPr>
            <w:r>
              <w:rPr>
                <w:rFonts w:ascii="Calibri" w:hAnsi="Calibri"/>
                <w:b w:val="0"/>
                <w:i w:val="0"/>
                <w:color w:val="0D2B4E"/>
                <w:sz w:val="17"/>
              </w:rPr>
              <w:t>Public domain. Free of cost. Attribution required on adoption or adaptation.</w:t>
            </w:r>
          </w:p>
        </w:tc>
      </w:tr>
      <w:tr>
        <w:tc>
          <w:tcPr>
            <w:tcW w:type="dxa" w:w="2835"/>
            <w:shd w:val="clear" w:color="auto" w:fill="0D2B4E"/>
          </w:tcPr>
          <w:p>
            <w:pPr>
              <w:spacing w:before="60" w:after="60"/>
              <w:ind w:left="113"/>
            </w:pPr>
            <w:r>
              <w:rPr>
                <w:rFonts w:ascii="Calibri" w:hAnsi="Calibri"/>
                <w:b/>
                <w:i w:val="0"/>
                <w:color w:val="FFFFFF"/>
                <w:sz w:val="17"/>
              </w:rPr>
              <w:t>Review Cycle</w:t>
            </w:r>
          </w:p>
        </w:tc>
        <w:tc>
          <w:tcPr>
            <w:tcW w:type="dxa" w:w="6236"/>
            <w:shd w:val="clear" w:color="auto" w:fill="F7F8FA"/>
          </w:tcPr>
          <w:p>
            <w:pPr>
              <w:spacing w:before="60" w:after="60"/>
              <w:ind w:left="113"/>
            </w:pPr>
            <w:r>
              <w:rPr>
                <w:rFonts w:ascii="Calibri" w:hAnsi="Calibri"/>
                <w:b w:val="0"/>
                <w:i w:val="0"/>
                <w:color w:val="0D2B4E"/>
                <w:sz w:val="17"/>
              </w:rPr>
              <w:t>This is a living framework. Release cycle announced on openequine.org.</w:t>
            </w:r>
          </w:p>
        </w:tc>
      </w:tr>
      <w:tr>
        <w:tc>
          <w:tcPr>
            <w:tcW w:type="dxa" w:w="2835"/>
            <w:shd w:val="clear" w:color="auto" w:fill="0D2B4E"/>
          </w:tcPr>
          <w:p>
            <w:pPr>
              <w:spacing w:before="60" w:after="60"/>
              <w:ind w:left="113"/>
            </w:pPr>
            <w:r>
              <w:rPr>
                <w:rFonts w:ascii="Calibri" w:hAnsi="Calibri"/>
                <w:b/>
                <w:i w:val="0"/>
                <w:color w:val="FFFFFF"/>
                <w:sz w:val="17"/>
              </w:rPr>
              <w:t>Liability</w:t>
            </w:r>
          </w:p>
        </w:tc>
        <w:tc>
          <w:tcPr>
            <w:tcW w:type="dxa" w:w="6236"/>
            <w:shd w:val="clear" w:color="auto" w:fill="FFFFFF"/>
          </w:tcPr>
          <w:p>
            <w:pPr>
              <w:spacing w:before="60" w:after="60"/>
              <w:ind w:left="113"/>
            </w:pPr>
            <w:r>
              <w:rPr>
                <w:rFonts w:ascii="Calibri" w:hAnsi="Calibri"/>
                <w:b w:val="0"/>
                <w:i w:val="0"/>
                <w:color w:val="0D2B4E"/>
                <w:sz w:val="17"/>
              </w:rPr>
              <w:t>Remains with stable management at all times.</w:t>
            </w:r>
          </w:p>
        </w:tc>
      </w:tr>
      <w:tr>
        <w:tc>
          <w:tcPr>
            <w:tcW w:type="dxa" w:w="2835"/>
            <w:shd w:val="clear" w:color="auto" w:fill="0D2B4E"/>
          </w:tcPr>
          <w:p>
            <w:pPr>
              <w:spacing w:before="60" w:after="60"/>
              <w:ind w:left="113"/>
            </w:pPr>
            <w:r>
              <w:rPr>
                <w:rFonts w:ascii="Calibri" w:hAnsi="Calibri"/>
                <w:b/>
                <w:i w:val="0"/>
                <w:color w:val="FFFFFF"/>
                <w:sz w:val="17"/>
              </w:rPr>
              <w:t>Contributions</w:t>
            </w:r>
          </w:p>
        </w:tc>
        <w:tc>
          <w:tcPr>
            <w:tcW w:type="dxa" w:w="6236"/>
            <w:shd w:val="clear" w:color="auto" w:fill="F7F8FA"/>
          </w:tcPr>
          <w:p>
            <w:pPr>
              <w:spacing w:before="60" w:after="60"/>
              <w:ind w:left="113"/>
            </w:pPr>
            <w:r>
              <w:rPr>
                <w:rFonts w:ascii="Calibri" w:hAnsi="Calibri"/>
                <w:b w:val="0"/>
                <w:i w:val="0"/>
                <w:color w:val="0D2B4E"/>
                <w:sz w:val="17"/>
              </w:rPr>
              <w:t>openequine.org   |   contact@openequine.org</w:t>
            </w:r>
          </w:p>
        </w:tc>
      </w:tr>
      <w:tr>
        <w:tc>
          <w:tcPr>
            <w:tcW w:type="dxa" w:w="2835"/>
            <w:shd w:val="clear" w:color="auto" w:fill="0D2B4E"/>
          </w:tcPr>
          <w:p>
            <w:pPr>
              <w:spacing w:before="60" w:after="60"/>
              <w:ind w:left="113"/>
            </w:pPr>
            <w:r>
              <w:rPr>
                <w:rFonts w:ascii="Calibri" w:hAnsi="Calibri"/>
                <w:b/>
                <w:i w:val="0"/>
                <w:color w:val="FFFFFF"/>
                <w:sz w:val="17"/>
              </w:rPr>
              <w:t>Code Licence</w:t>
            </w:r>
          </w:p>
        </w:tc>
        <w:tc>
          <w:tcPr>
            <w:tcW w:type="dxa" w:w="6236"/>
            <w:shd w:val="clear" w:color="auto" w:fill="FFFFFF"/>
          </w:tcPr>
          <w:p>
            <w:pPr>
              <w:spacing w:before="60" w:after="60"/>
              <w:ind w:left="113"/>
            </w:pPr>
            <w:r>
              <w:rPr>
                <w:rFonts w:ascii="Calibri" w:hAnsi="Calibri"/>
                <w:b w:val="0"/>
                <w:i w:val="0"/>
                <w:color w:val="0D2B4E"/>
                <w:sz w:val="17"/>
              </w:rPr>
              <w:t>AGPLv3 — https://www.gnu.org/licenses/agpl-3.0</w:t>
            </w:r>
          </w:p>
        </w:tc>
      </w:tr>
      <w:tr>
        <w:tc>
          <w:tcPr>
            <w:tcW w:type="dxa" w:w="2835"/>
            <w:shd w:val="clear" w:color="auto" w:fill="0D2B4E"/>
          </w:tcPr>
          <w:p>
            <w:pPr>
              <w:spacing w:before="60" w:after="60"/>
              <w:ind w:left="113"/>
            </w:pPr>
            <w:r>
              <w:rPr>
                <w:rFonts w:ascii="Calibri" w:hAnsi="Calibri"/>
                <w:b/>
                <w:i w:val="0"/>
                <w:color w:val="FFFFFF"/>
                <w:sz w:val="17"/>
              </w:rPr>
              <w:t>Doc Licence</w:t>
            </w:r>
          </w:p>
        </w:tc>
        <w:tc>
          <w:tcPr>
            <w:tcW w:type="dxa" w:w="6236"/>
            <w:shd w:val="clear" w:color="auto" w:fill="F7F8FA"/>
          </w:tcPr>
          <w:p>
            <w:pPr>
              <w:spacing w:before="60" w:after="60"/>
              <w:ind w:left="113"/>
            </w:pPr>
            <w:r>
              <w:rPr>
                <w:rFonts w:ascii="Calibri" w:hAnsi="Calibri"/>
                <w:b w:val="0"/>
                <w:i w:val="0"/>
                <w:color w:val="0D2B4E"/>
                <w:sz w:val="17"/>
              </w:rPr>
              <w:t>CC-BY-SA 4.0 — https://creativecommons.org/licenses/by-sa/4.0/legalcode</w:t>
            </w:r>
          </w:p>
        </w:tc>
      </w:tr>
    </w:tbl>
    <w:p>
      <w:pPr>
        <w:spacing w:before="40" w:after="100"/>
        <w:pBdr>
          <w:bottom w:val="single" w:sz="12" w:space="1" w:color="0B6E6E"/>
        </w:pBdr>
      </w:pPr>
    </w:p>
    <w:p>
      <w:pPr>
        <w:spacing w:before="80" w:after="0" w:line="240" w:lineRule="exact"/>
        <w:jc w:val="center"/>
      </w:pPr>
      <w:r>
        <w:rPr>
          <w:rFonts w:ascii="Calibri" w:hAnsi="Calibri"/>
          <w:b w:val="0"/>
          <w:i w:val="0"/>
          <w:color w:val="5A6472"/>
          <w:sz w:val="16"/>
        </w:rPr>
        <w:t>Open Equine   |   Open Equine Intelligence Systems — Horse AI   |   A TechXZone Pvt Ltd Initiative   |   openequine.org   |   OE-GL-000   |   Version 1.2   |   May 2026</w:t>
      </w:r>
    </w:p>
    <w:sectPr w:rsidR="00FC693F" w:rsidRPr="0006063C" w:rsidSect="00034616">
      <w:headerReference w:type="default" r:id="rId9"/>
      <w:footerReference w:type="default" r:id="rId10"/>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40" w:lineRule="exact"/>
      <w:jc w:val="center"/>
      <w:pBdr>
        <w:top w:val="single" w:sz="6" w:space="1" w:color="0B6E6E"/>
      </w:pBdr>
    </w:pPr>
    <w:r>
      <w:rPr>
        <w:rFonts w:ascii="Calibri" w:hAnsi="Calibri"/>
        <w:b w:val="0"/>
        <w:i w:val="0"/>
        <w:color w:val="5A6472"/>
        <w:sz w:val="15"/>
      </w:rPr>
      <w:t>OE-GL-000   |   Definition of Devices Framework   |   Version 1.2   |   May 2026   |   Code: AGPLv3   |   Documents: CC-BY-SA 4.0</w:t>
    </w:r>
  </w:p>
  <w:p>
    <w:pPr>
      <w:spacing w:before="0" w:after="0" w:line="240" w:lineRule="exact"/>
      <w:jc w:val="center"/>
    </w:pPr>
    <w:r>
      <w:rPr>
        <w:rFonts w:ascii="Calibri" w:hAnsi="Calibri"/>
        <w:b w:val="0"/>
        <w:i w:val="0"/>
        <w:color w:val="5A6472"/>
        <w:sz w:val="15"/>
      </w:rPr>
      <w:t xml:space="preserve">Page </w:t>
    </w:r>
    <w:r>
      <w:fldChar w:fldCharType="begin"/>
    </w:r>
    <w:r>
      <w:instrText>PAGE</w:instrText>
    </w:r>
    <w:r>
      <w:fldChar w:fldCharType="end"/>
    </w:r>
    <w:r>
      <w:rPr>
        <w:rFonts w:ascii="Calibri" w:hAnsi="Calibri"/>
        <w:b w:val="0"/>
        <w:i w:val="0"/>
        <w:color w:val="5A6472"/>
        <w:sz w:val="15"/>
      </w:rPr>
      <w:t xml:space="preserve"> of </w:t>
    </w:r>
    <w:r>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tabs>
        <w:tab w:val="right" w:pos="9072"/>
      </w:tabs>
      <w:pBdr>
        <w:bottom w:val="single" w:sz="6" w:space="1" w:color="0B6E6E"/>
      </w:pBdr>
    </w:pPr>
    <w:r>
      <w:rPr>
        <w:rFonts w:ascii="Calibri" w:hAnsi="Calibri"/>
        <w:b/>
        <w:i w:val="0"/>
        <w:color w:val="0B6E6E"/>
        <w:sz w:val="16"/>
      </w:rPr>
      <w:t>OPEN EQUINE</w:t>
    </w:r>
    <w:r>
      <w:rPr>
        <w:rFonts w:ascii="Calibri" w:hAnsi="Calibri"/>
        <w:b w:val="0"/>
        <w:i w:val="0"/>
        <w:color w:val="5A6472"/>
        <w:sz w:val="16"/>
      </w:rPr>
      <w:t xml:space="preserve">   Open Equine Intelligence Systems — Horse AI   |   A TechXZone Pvt Ltd Initiative</w:t>
    </w:r>
    <w:r>
      <w:rPr>
        <w:rFonts w:ascii="Calibri" w:hAnsi="Calibri"/>
        <w:b w:val="0"/>
        <w:i w:val="0"/>
        <w:color w:val="5A6472"/>
        <w:sz w:val="16"/>
      </w:rPr>
      <w:tab/>
      <w:t>OE-GL-000</w:t>
    </w:r>
  </w:p>
  <w:p>
    <w:pPr>
      <w:spacing w:before="40" w:after="0"/>
      <w:pBdr>
        <w:bottom w:val="single" w:sz="12" w:space="1" w:color="0B6E6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