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tcMar>
              <w:top w:type="dxa" w:w="0"/>
              <w:left w:type="dxa" w:w="0"/>
              <w:bottom w:type="dxa" w:w="0"/>
              <w:right w:type="dxa" w:w="200"/>
            </w:tcMar>
          </w:tcPr>
          <w:p>
            <w:pPr>
              <w:jc w:val="center"/>
            </w:pPr>
            <w:r>
              <w:drawing>
                <wp:inline distT="0" distB="0" distL="0" distR="0">
                  <wp:extent cx="857250" cy="85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57250" cy="857250"/>
                          </a:xfrm>
                          <a:prstGeom prst="rect">
                            <a:avLst/>
                          </a:prstGeom>
                        </pic:spPr>
                      </pic:pic>
                    </a:graphicData>
                  </a:graphic>
                </wp:inline>
              </w:drawing>
            </w:r>
          </w:p>
        </w:tc>
        <w:tc>
          <w:tcPr>
            <w:tcW w:type="dxa" w:w="7920"/>
            <w:tcBorders>
              <w:top w:val="none" w:color="FFFFFF" w:sz="0"/>
              <w:left w:val="none" w:color="FFFFFF" w:sz="0"/>
              <w:bottom w:val="none" w:color="FFFFFF" w:sz="0"/>
              <w:right w:val="none" w:color="FFFFFF" w:sz="0"/>
            </w:tcBorders>
            <w:tcMar>
              <w:top w:type="dxa" w:w="60"/>
              <w:left w:type="dxa" w:w="200"/>
              <w:bottom w:type="dxa" w:w="0"/>
              <w:right w:type="dxa" w:w="0"/>
            </w:tcMar>
          </w:tcPr>
          <w:p>
            <w:r>
              <w:rPr>
                <w:rFonts w:ascii="Calibri" w:cs="Calibri" w:eastAsia="Calibri" w:hAnsi="Calibri"/>
                <w:b/>
                <w:bCs/>
                <w:caps/>
                <w:color w:val="0B6E6E"/>
                <w:sz w:val="28"/>
                <w:szCs w:val="28"/>
              </w:rPr>
              <w:t xml:space="preserve">OPEN EQUINE</w:t>
            </w:r>
          </w:p>
          <w:p>
            <w:r>
              <w:rPr>
                <w:rFonts w:ascii="Calibri" w:cs="Calibri" w:eastAsia="Calibri" w:hAnsi="Calibri"/>
                <w:b/>
                <w:bCs/>
                <w:color w:val="0D2B4E"/>
                <w:sz w:val="20"/>
                <w:szCs w:val="20"/>
              </w:rPr>
              <w:t xml:space="preserve">Open Equine Intelligence Systems — Horse AI</w:t>
            </w:r>
          </w:p>
          <w:p>
            <w:r>
              <w:rPr>
                <w:rFonts w:ascii="Calibri" w:cs="Calibri" w:eastAsia="Calibri" w:hAnsi="Calibri"/>
                <w:color w:val="B8974A"/>
                <w:sz w:val="18"/>
                <w:szCs w:val="18"/>
              </w:rPr>
              <w:t xml:space="preserve">A TechXZone Pvt Ltd Initiative</w:t>
            </w:r>
          </w:p>
          <w:p>
            <w:r>
              <w:rPr>
                <w:rFonts w:ascii="Calibri" w:cs="Calibri" w:eastAsia="Calibri" w:hAnsi="Calibri"/>
                <w:color w:val="5A6472"/>
                <w:sz w:val="16"/>
                <w:szCs w:val="16"/>
              </w:rPr>
              <w:t xml:space="preserve">openequine.org   |   contact@openequine.org</w:t>
            </w:r>
          </w:p>
        </w:tc>
      </w:tr>
    </w:tbl>
    <w:p>
      <w:pPr>
        <w:spacing w:after="0" w:before="120"/>
      </w:pPr>
      <w:r>
        <w:t xml:space="preserve"/>
      </w:r>
    </w:p>
    <w:p>
      <w:pPr>
        <w:pBdr>
          <w:bottom w:val="single" w:color="0B6E6E" w:sz="8" w:space="1"/>
        </w:pBdr>
        <w:spacing w:after="0" w:before="0"/>
      </w:pPr>
      <w:r>
        <w:t xml:space="preserve"/>
      </w:r>
    </w:p>
    <w:p>
      <w:pPr>
        <w:spacing w:after="0" w:before="120"/>
      </w:pPr>
      <w:r>
        <w:t xml:space="preserve"/>
      </w:r>
    </w:p>
    <w:p>
      <w:pPr>
        <w:spacing w:after="60" w:before="0"/>
        <w:jc w:val="center"/>
      </w:pPr>
      <w:r>
        <w:rPr>
          <w:rFonts w:ascii="Times New Roman" w:cs="Times New Roman" w:eastAsia="Times New Roman" w:hAnsi="Times New Roman"/>
          <w:b/>
          <w:bCs/>
          <w:color w:val="0D2B4E"/>
          <w:sz w:val="52"/>
          <w:szCs w:val="52"/>
        </w:rPr>
        <w:t xml:space="preserve">Humanoids, AI &amp; Robots in Equine Stables</w:t>
      </w:r>
    </w:p>
    <w:p>
      <w:pPr>
        <w:spacing w:after="60" w:before="0"/>
        <w:jc w:val="center"/>
      </w:pPr>
      <w:r>
        <w:rPr>
          <w:rFonts w:ascii="Times New Roman" w:cs="Times New Roman" w:eastAsia="Times New Roman" w:hAnsi="Times New Roman"/>
          <w:b/>
          <w:bCs/>
          <w:i/>
          <w:iCs/>
          <w:color w:val="0B6E6E"/>
          <w:sz w:val="32"/>
          <w:szCs w:val="32"/>
        </w:rPr>
        <w:t xml:space="preserve">Equine Safety Oriented Ground Rules</w:t>
      </w:r>
    </w:p>
    <w:p>
      <w:pPr>
        <w:spacing w:after="0" w:before="0"/>
        <w:jc w:val="center"/>
      </w:pPr>
      <w:r>
        <w:rPr>
          <w:rFonts w:ascii="Calibri" w:cs="Calibri" w:eastAsia="Calibri" w:hAnsi="Calibri"/>
          <w:color w:val="5A6472"/>
          <w:sz w:val="18"/>
          <w:szCs w:val="18"/>
        </w:rPr>
        <w:t xml:space="preserve">OE-HRA-001   |   Version 1.0   |   May 2026</w:t>
      </w:r>
    </w:p>
    <w:p>
      <w:pPr>
        <w:spacing w:after="0" w:before="120"/>
      </w:pPr>
      <w:r>
        <w:t xml:space="preserve"/>
      </w:r>
    </w:p>
    <w:p>
      <w:pPr>
        <w:pBdr>
          <w:bottom w:val="single" w:color="0B6E6E" w:sz="4" w:space="1"/>
        </w:pBdr>
        <w:spacing w:after="0" w:before="0"/>
      </w:pPr>
      <w:r>
        <w:t xml:space="preserve"/>
      </w:r>
    </w:p>
    <w:p>
      <w:pPr>
        <w:spacing w:after="0" w:before="120"/>
      </w:pPr>
      <w:r>
        <w:t xml:space="preserve"/>
      </w:r>
    </w:p>
    <w:p>
      <w:pPr>
        <w:spacing w:after="80" w:before="0"/>
        <w:jc w:val="both"/>
      </w:pPr>
      <w:r>
        <w:rPr>
          <w:rFonts w:ascii="Times New Roman" w:cs="Times New Roman" w:eastAsia="Times New Roman" w:hAnsi="Times New Roman"/>
          <w:b/>
          <w:bCs/>
          <w:i/>
          <w:iCs/>
          <w:color w:val="0D2B4E"/>
          <w:sz w:val="20"/>
          <w:szCs w:val="20"/>
        </w:rPr>
        <w:t xml:space="preserve">Abstract—</w:t>
      </w:r>
      <w:r>
        <w:rPr>
          <w:rFonts w:ascii="Times New Roman" w:cs="Times New Roman" w:eastAsia="Times New Roman" w:hAnsi="Times New Roman"/>
          <w:color w:val="0D2B4E"/>
          <w:sz w:val="20"/>
          <w:szCs w:val="20"/>
        </w:rPr>
        <w:t xml:space="preserve">This document establishes the Ground Rules governing the deployment, operation, and integration of Humanoid machines, Artificial Intelligence systems, and Robotic equipment in equine stable environments. Issued by Open Equine Intelligence Systems — Horse AI, these Ground Rules are absolute, precede all other documents within the framework, and admit no exception. A non-exhaustive set of six derived principles is provided to illustrate the application of the Ground Rules across stable operations, veterinary authority, human oversight, and technology deployment.</w:t>
      </w:r>
    </w:p>
    <w:p>
      <w:pPr>
        <w:spacing w:after="0" w:before="60"/>
      </w:pPr>
      <w:r>
        <w:rPr>
          <w:rFonts w:ascii="Times New Roman" w:cs="Times New Roman" w:eastAsia="Times New Roman" w:hAnsi="Times New Roman"/>
          <w:i/>
          <w:iCs/>
          <w:color w:val="0D2B4E"/>
          <w:sz w:val="20"/>
          <w:szCs w:val="20"/>
        </w:rPr>
        <w:t xml:space="preserve">Keywords—</w:t>
      </w:r>
      <w:r>
        <w:rPr>
          <w:rFonts w:ascii="Times New Roman" w:cs="Times New Roman" w:eastAsia="Times New Roman" w:hAnsi="Times New Roman"/>
          <w:i/>
          <w:iCs/>
          <w:color w:val="0D2B4E"/>
          <w:sz w:val="20"/>
          <w:szCs w:val="20"/>
        </w:rPr>
        <w:t xml:space="preserve">equine safety, humanoid machines, robotics, artificial intelligence, stable management, safety guidelines, Open Equine Intelligence Systems</w:t>
      </w:r>
    </w:p>
    <w:p>
      <w:pPr>
        <w:spacing w:after="0" w:before="120"/>
      </w:pPr>
      <w:r>
        <w:t xml:space="preserve"/>
      </w:r>
    </w:p>
    <w:p>
      <w:pPr>
        <w:pBdr>
          <w:bottom w:val="single" w:color="C9CDD4" w:sz="2" w:space="1"/>
        </w:pBdr>
        <w:spacing w:after="0" w:before="0"/>
      </w:pPr>
      <w:r>
        <w:t xml:space="preserve"/>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9CDD4" w:sz="1"/>
              <w:left w:val="single" w:color="C9CDD4" w:sz="1"/>
              <w:bottom w:val="single" w:color="C9CDD4" w:sz="1"/>
              <w:right w:val="single" w:color="C9CDD4" w:sz="1"/>
            </w:tcBorders>
            <w:shd w:fill="0D2B4E" w:val="clear"/>
            <w:tcMar>
              <w:top w:type="dxa" w:w="80"/>
              <w:left w:type="dxa" w:w="140"/>
              <w:bottom w:type="dxa" w:w="80"/>
              <w:right w:type="dxa" w:w="140"/>
            </w:tcMar>
          </w:tcPr>
          <w:p>
            <w:r>
              <w:rPr>
                <w:rFonts w:ascii="Calibri" w:cs="Calibri" w:eastAsia="Calibri" w:hAnsi="Calibri"/>
                <w:b/>
                <w:bCs/>
                <w:color w:val="FFFFFF"/>
                <w:sz w:val="17"/>
                <w:szCs w:val="17"/>
              </w:rPr>
              <w:t xml:space="preserve">Document Reference</w:t>
            </w:r>
          </w:p>
        </w:tc>
        <w:tc>
          <w:tcPr>
            <w:tcW w:type="dxa" w:w="7160"/>
            <w:tcBorders>
              <w:top w:val="single" w:color="C9CDD4" w:sz="1"/>
              <w:left w:val="single" w:color="C9CDD4" w:sz="1"/>
              <w:bottom w:val="single" w:color="C9CDD4" w:sz="1"/>
              <w:right w:val="single" w:color="C9CDD4" w:sz="1"/>
            </w:tcBorders>
            <w:shd w:fill="FFFFFF" w:val="clear"/>
            <w:tcMar>
              <w:top w:type="dxa" w:w="80"/>
              <w:left w:type="dxa" w:w="140"/>
              <w:bottom w:type="dxa" w:w="80"/>
              <w:right w:type="dxa" w:w="140"/>
            </w:tcMar>
          </w:tcPr>
          <w:p>
            <w:r>
              <w:rPr>
                <w:rFonts w:ascii="Calibri" w:cs="Calibri" w:eastAsia="Calibri" w:hAnsi="Calibri"/>
                <w:color w:val="0D2B4E"/>
                <w:sz w:val="17"/>
                <w:szCs w:val="17"/>
              </w:rPr>
              <w:t xml:space="preserve">OE-HRA-001</w:t>
            </w:r>
          </w:p>
        </w:tc>
      </w:tr>
      <w:tr>
        <w:tc>
          <w:tcPr>
            <w:tcW w:type="dxa" w:w="2200"/>
            <w:tcBorders>
              <w:top w:val="single" w:color="C9CDD4" w:sz="1"/>
              <w:left w:val="single" w:color="C9CDD4" w:sz="1"/>
              <w:bottom w:val="single" w:color="C9CDD4" w:sz="1"/>
              <w:right w:val="single" w:color="C9CDD4" w:sz="1"/>
            </w:tcBorders>
            <w:shd w:fill="0D2B4E" w:val="clear"/>
            <w:tcMar>
              <w:top w:type="dxa" w:w="80"/>
              <w:left w:type="dxa" w:w="140"/>
              <w:bottom w:type="dxa" w:w="80"/>
              <w:right w:type="dxa" w:w="140"/>
            </w:tcMar>
          </w:tcPr>
          <w:p>
            <w:r>
              <w:rPr>
                <w:rFonts w:ascii="Calibri" w:cs="Calibri" w:eastAsia="Calibri" w:hAnsi="Calibri"/>
                <w:b/>
                <w:bCs/>
                <w:color w:val="FFFFFF"/>
                <w:sz w:val="17"/>
                <w:szCs w:val="17"/>
              </w:rPr>
              <w:t xml:space="preserve">Version</w:t>
            </w:r>
          </w:p>
        </w:tc>
        <w:tc>
          <w:tcPr>
            <w:tcW w:type="dxa" w:w="7160"/>
            <w:tcBorders>
              <w:top w:val="single" w:color="C9CDD4" w:sz="1"/>
              <w:left w:val="single" w:color="C9CDD4" w:sz="1"/>
              <w:bottom w:val="single" w:color="C9CDD4" w:sz="1"/>
              <w:right w:val="single" w:color="C9CDD4" w:sz="1"/>
            </w:tcBorders>
            <w:shd w:fill="F7F8FA" w:val="clear"/>
            <w:tcMar>
              <w:top w:type="dxa" w:w="80"/>
              <w:left w:type="dxa" w:w="140"/>
              <w:bottom w:type="dxa" w:w="80"/>
              <w:right w:type="dxa" w:w="140"/>
            </w:tcMar>
          </w:tcPr>
          <w:p>
            <w:r>
              <w:rPr>
                <w:rFonts w:ascii="Calibri" w:cs="Calibri" w:eastAsia="Calibri" w:hAnsi="Calibri"/>
                <w:color w:val="0D2B4E"/>
                <w:sz w:val="17"/>
                <w:szCs w:val="17"/>
              </w:rPr>
              <w:t xml:space="preserve">1.0 — May 2026</w:t>
            </w:r>
          </w:p>
        </w:tc>
      </w:tr>
      <w:tr>
        <w:tc>
          <w:tcPr>
            <w:tcW w:type="dxa" w:w="2200"/>
            <w:tcBorders>
              <w:top w:val="single" w:color="C9CDD4" w:sz="1"/>
              <w:left w:val="single" w:color="C9CDD4" w:sz="1"/>
              <w:bottom w:val="single" w:color="C9CDD4" w:sz="1"/>
              <w:right w:val="single" w:color="C9CDD4" w:sz="1"/>
            </w:tcBorders>
            <w:shd w:fill="0D2B4E" w:val="clear"/>
            <w:tcMar>
              <w:top w:type="dxa" w:w="80"/>
              <w:left w:type="dxa" w:w="140"/>
              <w:bottom w:type="dxa" w:w="80"/>
              <w:right w:type="dxa" w:w="140"/>
            </w:tcMar>
          </w:tcPr>
          <w:p>
            <w:r>
              <w:rPr>
                <w:rFonts w:ascii="Calibri" w:cs="Calibri" w:eastAsia="Calibri" w:hAnsi="Calibri"/>
                <w:b/>
                <w:bCs/>
                <w:color w:val="FFFFFF"/>
                <w:sz w:val="17"/>
                <w:szCs w:val="17"/>
              </w:rPr>
              <w:t xml:space="preserve">Status</w:t>
            </w:r>
          </w:p>
        </w:tc>
        <w:tc>
          <w:tcPr>
            <w:tcW w:type="dxa" w:w="7160"/>
            <w:tcBorders>
              <w:top w:val="single" w:color="C9CDD4" w:sz="1"/>
              <w:left w:val="single" w:color="C9CDD4" w:sz="1"/>
              <w:bottom w:val="single" w:color="C9CDD4" w:sz="1"/>
              <w:right w:val="single" w:color="C9CDD4" w:sz="1"/>
            </w:tcBorders>
            <w:shd w:fill="FFFFFF" w:val="clear"/>
            <w:tcMar>
              <w:top w:type="dxa" w:w="80"/>
              <w:left w:type="dxa" w:w="140"/>
              <w:bottom w:type="dxa" w:w="80"/>
              <w:right w:type="dxa" w:w="140"/>
            </w:tcMar>
          </w:tcPr>
          <w:p>
            <w:r>
              <w:rPr>
                <w:rFonts w:ascii="Calibri" w:cs="Calibri" w:eastAsia="Calibri" w:hAnsi="Calibri"/>
                <w:color w:val="0D2B4E"/>
                <w:sz w:val="17"/>
                <w:szCs w:val="17"/>
              </w:rPr>
              <w:t xml:space="preserve">Published</w:t>
            </w:r>
          </w:p>
        </w:tc>
      </w:tr>
      <w:tr>
        <w:tc>
          <w:tcPr>
            <w:tcW w:type="dxa" w:w="2200"/>
            <w:tcBorders>
              <w:top w:val="single" w:color="C9CDD4" w:sz="1"/>
              <w:left w:val="single" w:color="C9CDD4" w:sz="1"/>
              <w:bottom w:val="single" w:color="C9CDD4" w:sz="1"/>
              <w:right w:val="single" w:color="C9CDD4" w:sz="1"/>
            </w:tcBorders>
            <w:shd w:fill="0D2B4E" w:val="clear"/>
            <w:tcMar>
              <w:top w:type="dxa" w:w="80"/>
              <w:left w:type="dxa" w:w="140"/>
              <w:bottom w:type="dxa" w:w="80"/>
              <w:right w:type="dxa" w:w="140"/>
            </w:tcMar>
          </w:tcPr>
          <w:p>
            <w:r>
              <w:rPr>
                <w:rFonts w:ascii="Calibri" w:cs="Calibri" w:eastAsia="Calibri" w:hAnsi="Calibri"/>
                <w:b/>
                <w:bCs/>
                <w:color w:val="FFFFFF"/>
                <w:sz w:val="17"/>
                <w:szCs w:val="17"/>
              </w:rPr>
              <w:t xml:space="preserve">Issuing Body</w:t>
            </w:r>
          </w:p>
        </w:tc>
        <w:tc>
          <w:tcPr>
            <w:tcW w:type="dxa" w:w="7160"/>
            <w:tcBorders>
              <w:top w:val="single" w:color="C9CDD4" w:sz="1"/>
              <w:left w:val="single" w:color="C9CDD4" w:sz="1"/>
              <w:bottom w:val="single" w:color="C9CDD4" w:sz="1"/>
              <w:right w:val="single" w:color="C9CDD4" w:sz="1"/>
            </w:tcBorders>
            <w:shd w:fill="F7F8FA" w:val="clear"/>
            <w:tcMar>
              <w:top w:type="dxa" w:w="80"/>
              <w:left w:type="dxa" w:w="140"/>
              <w:bottom w:type="dxa" w:w="80"/>
              <w:right w:type="dxa" w:w="140"/>
            </w:tcMar>
          </w:tcPr>
          <w:p>
            <w:r>
              <w:rPr>
                <w:rFonts w:ascii="Calibri" w:cs="Calibri" w:eastAsia="Calibri" w:hAnsi="Calibri"/>
                <w:color w:val="0D2B4E"/>
                <w:sz w:val="17"/>
                <w:szCs w:val="17"/>
              </w:rPr>
              <w:t xml:space="preserve">Open Equine Intelligence Systems — Horse AI</w:t>
            </w:r>
          </w:p>
        </w:tc>
      </w:tr>
      <w:tr>
        <w:tc>
          <w:tcPr>
            <w:tcW w:type="dxa" w:w="2200"/>
            <w:tcBorders>
              <w:top w:val="single" w:color="C9CDD4" w:sz="1"/>
              <w:left w:val="single" w:color="C9CDD4" w:sz="1"/>
              <w:bottom w:val="single" w:color="C9CDD4" w:sz="1"/>
              <w:right w:val="single" w:color="C9CDD4" w:sz="1"/>
            </w:tcBorders>
            <w:shd w:fill="0D2B4E" w:val="clear"/>
            <w:tcMar>
              <w:top w:type="dxa" w:w="80"/>
              <w:left w:type="dxa" w:w="140"/>
              <w:bottom w:type="dxa" w:w="80"/>
              <w:right w:type="dxa" w:w="140"/>
            </w:tcMar>
          </w:tcPr>
          <w:p>
            <w:r>
              <w:rPr>
                <w:rFonts w:ascii="Calibri" w:cs="Calibri" w:eastAsia="Calibri" w:hAnsi="Calibri"/>
                <w:b/>
                <w:bCs/>
                <w:color w:val="FFFFFF"/>
                <w:sz w:val="17"/>
                <w:szCs w:val="17"/>
              </w:rPr>
              <w:t xml:space="preserve">Organisation</w:t>
            </w:r>
          </w:p>
        </w:tc>
        <w:tc>
          <w:tcPr>
            <w:tcW w:type="dxa" w:w="7160"/>
            <w:tcBorders>
              <w:top w:val="single" w:color="C9CDD4" w:sz="1"/>
              <w:left w:val="single" w:color="C9CDD4" w:sz="1"/>
              <w:bottom w:val="single" w:color="C9CDD4" w:sz="1"/>
              <w:right w:val="single" w:color="C9CDD4" w:sz="1"/>
            </w:tcBorders>
            <w:shd w:fill="FFFFFF" w:val="clear"/>
            <w:tcMar>
              <w:top w:type="dxa" w:w="80"/>
              <w:left w:type="dxa" w:w="140"/>
              <w:bottom w:type="dxa" w:w="80"/>
              <w:right w:type="dxa" w:w="140"/>
            </w:tcMar>
          </w:tcPr>
          <w:p>
            <w:r>
              <w:rPr>
                <w:rFonts w:ascii="Calibri" w:cs="Calibri" w:eastAsia="Calibri" w:hAnsi="Calibri"/>
                <w:color w:val="0D2B4E"/>
                <w:sz w:val="17"/>
                <w:szCs w:val="17"/>
              </w:rPr>
              <w:t xml:space="preserve">A TechXZone Pvt Ltd Initiative</w:t>
            </w:r>
          </w:p>
        </w:tc>
      </w:tr>
      <w:tr>
        <w:tc>
          <w:tcPr>
            <w:tcW w:type="dxa" w:w="2200"/>
            <w:tcBorders>
              <w:top w:val="single" w:color="C9CDD4" w:sz="1"/>
              <w:left w:val="single" w:color="C9CDD4" w:sz="1"/>
              <w:bottom w:val="single" w:color="C9CDD4" w:sz="1"/>
              <w:right w:val="single" w:color="C9CDD4" w:sz="1"/>
            </w:tcBorders>
            <w:shd w:fill="0D2B4E" w:val="clear"/>
            <w:tcMar>
              <w:top w:type="dxa" w:w="80"/>
              <w:left w:type="dxa" w:w="140"/>
              <w:bottom w:type="dxa" w:w="80"/>
              <w:right w:type="dxa" w:w="140"/>
            </w:tcMar>
          </w:tcPr>
          <w:p>
            <w:r>
              <w:rPr>
                <w:rFonts w:ascii="Calibri" w:cs="Calibri" w:eastAsia="Calibri" w:hAnsi="Calibri"/>
                <w:b/>
                <w:bCs/>
                <w:color w:val="FFFFFF"/>
                <w:sz w:val="17"/>
                <w:szCs w:val="17"/>
              </w:rPr>
              <w:t xml:space="preserve">Code Licence</w:t>
            </w:r>
          </w:p>
        </w:tc>
        <w:tc>
          <w:tcPr>
            <w:tcW w:type="dxa" w:w="7160"/>
            <w:tcBorders>
              <w:top w:val="single" w:color="C9CDD4" w:sz="1"/>
              <w:left w:val="single" w:color="C9CDD4" w:sz="1"/>
              <w:bottom w:val="single" w:color="C9CDD4" w:sz="1"/>
              <w:right w:val="single" w:color="C9CDD4" w:sz="1"/>
            </w:tcBorders>
            <w:shd w:fill="F7F8FA" w:val="clear"/>
            <w:tcMar>
              <w:top w:type="dxa" w:w="80"/>
              <w:left w:type="dxa" w:w="140"/>
              <w:bottom w:type="dxa" w:w="80"/>
              <w:right w:type="dxa" w:w="140"/>
            </w:tcMar>
          </w:tcPr>
          <w:p>
            <w:r>
              <w:rPr>
                <w:rFonts w:ascii="Calibri" w:cs="Calibri" w:eastAsia="Calibri" w:hAnsi="Calibri"/>
                <w:color w:val="0D2B4E"/>
                <w:sz w:val="17"/>
                <w:szCs w:val="17"/>
              </w:rPr>
              <w:t xml:space="preserve">AGPLv3 — https://www.gnu.org/licenses/agpl-3.0</w:t>
            </w:r>
          </w:p>
        </w:tc>
      </w:tr>
      <w:tr>
        <w:tc>
          <w:tcPr>
            <w:tcW w:type="dxa" w:w="2200"/>
            <w:tcBorders>
              <w:top w:val="single" w:color="C9CDD4" w:sz="1"/>
              <w:left w:val="single" w:color="C9CDD4" w:sz="1"/>
              <w:bottom w:val="single" w:color="C9CDD4" w:sz="1"/>
              <w:right w:val="single" w:color="C9CDD4" w:sz="1"/>
            </w:tcBorders>
            <w:shd w:fill="0D2B4E" w:val="clear"/>
            <w:tcMar>
              <w:top w:type="dxa" w:w="80"/>
              <w:left w:type="dxa" w:w="140"/>
              <w:bottom w:type="dxa" w:w="80"/>
              <w:right w:type="dxa" w:w="140"/>
            </w:tcMar>
          </w:tcPr>
          <w:p>
            <w:r>
              <w:rPr>
                <w:rFonts w:ascii="Calibri" w:cs="Calibri" w:eastAsia="Calibri" w:hAnsi="Calibri"/>
                <w:b/>
                <w:bCs/>
                <w:color w:val="FFFFFF"/>
                <w:sz w:val="17"/>
                <w:szCs w:val="17"/>
              </w:rPr>
              <w:t xml:space="preserve">Document Licence</w:t>
            </w:r>
          </w:p>
        </w:tc>
        <w:tc>
          <w:tcPr>
            <w:tcW w:type="dxa" w:w="7160"/>
            <w:tcBorders>
              <w:top w:val="single" w:color="C9CDD4" w:sz="1"/>
              <w:left w:val="single" w:color="C9CDD4" w:sz="1"/>
              <w:bottom w:val="single" w:color="C9CDD4" w:sz="1"/>
              <w:right w:val="single" w:color="C9CDD4" w:sz="1"/>
            </w:tcBorders>
            <w:shd w:fill="FFFFFF" w:val="clear"/>
            <w:tcMar>
              <w:top w:type="dxa" w:w="80"/>
              <w:left w:type="dxa" w:w="140"/>
              <w:bottom w:type="dxa" w:w="80"/>
              <w:right w:type="dxa" w:w="140"/>
            </w:tcMar>
          </w:tcPr>
          <w:p>
            <w:r>
              <w:rPr>
                <w:rFonts w:ascii="Calibri" w:cs="Calibri" w:eastAsia="Calibri" w:hAnsi="Calibri"/>
                <w:color w:val="0D2B4E"/>
                <w:sz w:val="17"/>
                <w:szCs w:val="17"/>
              </w:rPr>
              <w:t xml:space="preserve">CC-BY-SA 4.0 — https://creativecommons.org/licenses/by-sa/4.0/legalcode</w:t>
            </w:r>
          </w:p>
        </w:tc>
      </w:tr>
    </w:tbl>
    <w:p>
      <w:pPr>
        <w:spacing w:after="0" w:before="200"/>
      </w:pPr>
      <w:r>
        <w:t xml:space="preserve"/>
      </w:r>
    </w:p>
    <w:p>
      <w:r>
        <w:br w:type="page"/>
      </w:r>
    </w:p>
    <w:p>
      <w:pPr>
        <w:spacing w:after="100" w:before="240"/>
        <w:jc w:val="center"/>
      </w:pPr>
      <w:r>
        <w:rPr>
          <w:rFonts w:ascii="Times New Roman" w:cs="Times New Roman" w:eastAsia="Times New Roman" w:hAnsi="Times New Roman"/>
          <w:b/>
          <w:bCs/>
          <w:caps/>
          <w:color w:val="0D2B4E"/>
          <w:sz w:val="22"/>
          <w:szCs w:val="22"/>
        </w:rPr>
        <w:t xml:space="preserve">I. Scope and Purpose</w:t>
      </w:r>
    </w:p>
    <w:p>
      <w:pPr>
        <w:pBdr>
          <w:bottom w:val="single" w:color="0B6E6E" w:sz="4" w:space="1"/>
        </w:pBdr>
        <w:spacing w:after="0" w:before="0"/>
      </w:pPr>
      <w:r>
        <w:t xml:space="preserve"/>
      </w:r>
    </w:p>
    <w:p>
      <w:pPr>
        <w:spacing w:after="0" w:before="80"/>
      </w:pPr>
      <w:r>
        <w:t xml:space="preserve"/>
      </w:r>
    </w:p>
    <w:p>
      <w:pPr>
        <w:keepLines/>
        <w:spacing w:after="60" w:before="60"/>
        <w:jc w:val="both"/>
      </w:pPr>
      <w:r>
        <w:rPr>
          <w:rFonts w:ascii="Times New Roman" w:cs="Times New Roman" w:eastAsia="Times New Roman" w:hAnsi="Times New Roman"/>
          <w:color w:val="0D2B4E"/>
          <w:sz w:val="20"/>
          <w:szCs w:val="20"/>
        </w:rPr>
        <w:t xml:space="preserve">This document establishes the Ground Rules governing the deployment, operation, and integration of Humanoid machines, Artificial Intelligence systems, and Robotic equipment in equine stable environments. These Ground Rules are issued by Open Equine Intelligence Systems — Horse AI, a TechXZone Pvt Ltd Initiative, as part of the Open Equine Intelligence Systems Safety Guidelines Framework for Humanoids, Robotics, and AI in Equine Stables.</w:t>
      </w:r>
    </w:p>
    <w:p>
      <w:pPr>
        <w:spacing w:after="0" w:before="60"/>
      </w:pPr>
      <w:r>
        <w:t xml:space="preserve"/>
      </w:r>
    </w:p>
    <w:p>
      <w:pPr>
        <w:keepLines/>
        <w:spacing w:after="60" w:before="60"/>
        <w:jc w:val="both"/>
      </w:pPr>
      <w:r>
        <w:rPr>
          <w:rFonts w:ascii="Times New Roman" w:cs="Times New Roman" w:eastAsia="Times New Roman" w:hAnsi="Times New Roman"/>
          <w:color w:val="0D2B4E"/>
          <w:sz w:val="20"/>
          <w:szCs w:val="20"/>
        </w:rPr>
        <w:t xml:space="preserve">The Ground Rules set out in this document are absolute. They precede and govern all guidelines, definitions, technical specifications, and supplementary documents within this framework. No provision in any other document within this framework may be interpreted, applied, or enforced in a manner that conflicts with or diminishes these Ground Rules.</w:t>
      </w:r>
    </w:p>
    <w:p>
      <w:pPr>
        <w:spacing w:after="0" w:before="60"/>
      </w:pPr>
      <w:r>
        <w:t xml:space="preserve"/>
      </w:r>
    </w:p>
    <w:p>
      <w:pPr>
        <w:keepLines/>
        <w:spacing w:after="60" w:before="60"/>
        <w:jc w:val="both"/>
      </w:pPr>
      <w:r>
        <w:rPr>
          <w:rFonts w:ascii="Times New Roman" w:cs="Times New Roman" w:eastAsia="Times New Roman" w:hAnsi="Times New Roman"/>
          <w:color w:val="0D2B4E"/>
          <w:sz w:val="20"/>
          <w:szCs w:val="20"/>
        </w:rPr>
        <w:t xml:space="preserve">These Ground Rules apply to all persons, organisations, and entities that deploy, operate, manufacture, supply, integrate, or advise on the use of Humanoid machines, AI systems, and Robotic equipment in equine stable environments, and to all stable operators who adopt or reference this framework.</w:t>
      </w:r>
    </w:p>
    <w:p>
      <w:pPr>
        <w:spacing w:after="0" w:before="200"/>
      </w:pPr>
      <w:r>
        <w:t xml:space="preserve"/>
      </w:r>
    </w:p>
    <w:p>
      <w:pPr>
        <w:spacing w:after="100" w:before="240"/>
        <w:jc w:val="center"/>
      </w:pPr>
      <w:r>
        <w:rPr>
          <w:rFonts w:ascii="Times New Roman" w:cs="Times New Roman" w:eastAsia="Times New Roman" w:hAnsi="Times New Roman"/>
          <w:b/>
          <w:bCs/>
          <w:caps/>
          <w:color w:val="0D2B4E"/>
          <w:sz w:val="22"/>
          <w:szCs w:val="22"/>
        </w:rPr>
        <w:t xml:space="preserve">II. Ground Rules</w:t>
      </w:r>
    </w:p>
    <w:p>
      <w:pPr>
        <w:pBdr>
          <w:bottom w:val="single" w:color="0B6E6E" w:sz="4" w:space="1"/>
        </w:pBdr>
        <w:spacing w:after="0" w:before="0"/>
      </w:pPr>
      <w:r>
        <w:t xml:space="preserve"/>
      </w:r>
    </w:p>
    <w:p>
      <w:pPr>
        <w:spacing w:after="0" w:before="80"/>
      </w:pPr>
      <w:r>
        <w:t xml:space="preserve"/>
      </w:r>
    </w:p>
    <w:p>
      <w:pPr>
        <w:keepLines/>
        <w:spacing w:after="60" w:before="60"/>
        <w:jc w:val="both"/>
      </w:pPr>
      <w:r>
        <w:rPr>
          <w:rFonts w:ascii="Times New Roman" w:cs="Times New Roman" w:eastAsia="Times New Roman" w:hAnsi="Times New Roman"/>
          <w:color w:val="0D2B4E"/>
          <w:sz w:val="20"/>
          <w:szCs w:val="20"/>
        </w:rPr>
        <w:t xml:space="preserve">The following two rules constitute the Ground Rules of this framework. They are non-negotiable and admit no exception.</w:t>
      </w:r>
    </w:p>
    <w:p>
      <w:pPr>
        <w:spacing w:after="0" w:before="140"/>
      </w:pPr>
      <w:r>
        <w:t xml:space="preserve"/>
      </w:r>
    </w:p>
    <w:p>
      <w:pPr>
        <w:shd w:fill="0D2B4E" w:val="clear"/>
        <w:spacing w:after="0" w:before="0"/>
      </w:pPr>
      <w:r>
        <w:rPr>
          <w:rFonts w:ascii="Times New Roman" w:cs="Times New Roman" w:eastAsia="Times New Roman" w:hAnsi="Times New Roman"/>
          <w:b/>
          <w:bCs/>
          <w:color w:val="FFFFFF"/>
          <w:sz w:val="21"/>
          <w:szCs w:val="21"/>
        </w:rPr>
        <w:t xml:space="preserve">  Rule 1 — Humanoids, AI and Robots are not a replacement for human staff.</w:t>
      </w:r>
    </w:p>
    <w:p>
      <w:pPr>
        <w:pBdr>
          <w:left w:val="single" w:color="0B6E6E" w:sz="18" w:space="6"/>
        </w:pBdr>
        <w:shd w:fill="E6F4F4" w:val="clear"/>
        <w:spacing w:after="0" w:before="0"/>
        <w:ind w:left="280" w:right="280"/>
        <w:jc w:val="both"/>
      </w:pPr>
      <w:r>
        <w:rPr>
          <w:rFonts w:ascii="Times New Roman" w:cs="Times New Roman" w:eastAsia="Times New Roman" w:hAnsi="Times New Roman"/>
          <w:i/>
          <w:iCs/>
          <w:color w:val="0D2B4E"/>
          <w:sz w:val="20"/>
          <w:szCs w:val="20"/>
        </w:rPr>
        <w:t xml:space="preserve">Every stable operation that deploys any technology covered under this framework must maintain its full human staffing complement. Technology is a tool of support. Reduction of human staff on the basis of technology deployment is prohibited.</w:t>
      </w:r>
    </w:p>
    <w:p>
      <w:pPr>
        <w:spacing w:after="0" w:before="80"/>
      </w:pPr>
      <w:r>
        <w:t xml:space="preserve"/>
      </w:r>
    </w:p>
    <w:p>
      <w:pPr>
        <w:spacing w:after="0" w:before="140"/>
      </w:pPr>
      <w:r>
        <w:t xml:space="preserve"/>
      </w:r>
    </w:p>
    <w:p>
      <w:pPr>
        <w:shd w:fill="0D2B4E" w:val="clear"/>
        <w:spacing w:after="0" w:before="0"/>
      </w:pPr>
      <w:r>
        <w:rPr>
          <w:rFonts w:ascii="Times New Roman" w:cs="Times New Roman" w:eastAsia="Times New Roman" w:hAnsi="Times New Roman"/>
          <w:b/>
          <w:bCs/>
          <w:color w:val="FFFFFF"/>
          <w:sz w:val="21"/>
          <w:szCs w:val="21"/>
        </w:rPr>
        <w:t xml:space="preserve">  Rule 2 — No exception overrides Rule 1.</w:t>
      </w:r>
    </w:p>
    <w:p>
      <w:pPr>
        <w:pBdr>
          <w:left w:val="single" w:color="0B6E6E" w:sz="18" w:space="6"/>
        </w:pBdr>
        <w:shd w:fill="E6F4F4" w:val="clear"/>
        <w:spacing w:after="0" w:before="0"/>
        <w:ind w:left="280" w:right="280"/>
        <w:jc w:val="both"/>
      </w:pPr>
      <w:r>
        <w:rPr>
          <w:rFonts w:ascii="Times New Roman" w:cs="Times New Roman" w:eastAsia="Times New Roman" w:hAnsi="Times New Roman"/>
          <w:i/>
          <w:iCs/>
          <w:color w:val="0D2B4E"/>
          <w:sz w:val="20"/>
          <w:szCs w:val="20"/>
        </w:rPr>
        <w:t xml:space="preserve">No operational, commercial, or technical justification permits a reduction in human presence in a stable environment as a consequence of deploying humanoid machines, AI systems, or robotic equipment. This rule is absolute.</w:t>
      </w:r>
    </w:p>
    <w:p>
      <w:pPr>
        <w:spacing w:after="0" w:before="80"/>
      </w:pPr>
      <w:r>
        <w:t xml:space="preserve"/>
      </w:r>
    </w:p>
    <w:p>
      <w:pPr>
        <w:spacing w:after="0" w:before="200"/>
      </w:pPr>
      <w:r>
        <w:t xml:space="preserve"/>
      </w:r>
    </w:p>
    <w:p>
      <w:pPr>
        <w:spacing w:after="100" w:before="240"/>
        <w:jc w:val="center"/>
      </w:pPr>
      <w:r>
        <w:rPr>
          <w:rFonts w:ascii="Times New Roman" w:cs="Times New Roman" w:eastAsia="Times New Roman" w:hAnsi="Times New Roman"/>
          <w:b/>
          <w:bCs/>
          <w:caps/>
          <w:color w:val="0D2B4E"/>
          <w:sz w:val="22"/>
          <w:szCs w:val="22"/>
        </w:rPr>
        <w:t xml:space="preserve">III. Derived Principles</w:t>
      </w:r>
    </w:p>
    <w:p>
      <w:pPr>
        <w:pBdr>
          <w:bottom w:val="single" w:color="0B6E6E" w:sz="4" w:space="1"/>
        </w:pBdr>
        <w:spacing w:after="0" w:before="0"/>
      </w:pPr>
      <w:r>
        <w:t xml:space="preserve"/>
      </w:r>
    </w:p>
    <w:p>
      <w:pPr>
        <w:spacing w:after="0" w:before="80"/>
      </w:pPr>
      <w:r>
        <w:t xml:space="preserve"/>
      </w:r>
    </w:p>
    <w:p>
      <w:pPr>
        <w:keepLines/>
        <w:spacing w:after="60" w:before="60"/>
        <w:jc w:val="both"/>
      </w:pPr>
      <w:r>
        <w:rPr>
          <w:rFonts w:ascii="Times New Roman" w:cs="Times New Roman" w:eastAsia="Times New Roman" w:hAnsi="Times New Roman"/>
          <w:color w:val="0D2B4E"/>
          <w:sz w:val="20"/>
          <w:szCs w:val="20"/>
        </w:rPr>
        <w:t xml:space="preserve">The following principles derive directly from the Ground Rules. They represent a non-exhaustive set of important implications arising from the application of the Ground Rules in practice. These principles do not limit the scope of the Ground Rules. Additional principles may be identified and published in subsequent releases of this document.</w:t>
      </w:r>
    </w:p>
    <w:p>
      <w:pPr>
        <w:spacing w:after="0" w:before="80"/>
      </w:pPr>
      <w:r>
        <w:t xml:space="preserve"/>
      </w:r>
    </w:p>
    <w:p>
      <w:pPr>
        <w:keepNext/>
        <w:spacing w:after="60" w:before="160"/>
      </w:pPr>
      <w:r>
        <w:rPr>
          <w:rFonts w:ascii="Times New Roman" w:cs="Times New Roman" w:eastAsia="Times New Roman" w:hAnsi="Times New Roman"/>
          <w:b/>
          <w:bCs/>
          <w:i/>
          <w:iCs/>
          <w:color w:val="0B6E6E"/>
          <w:sz w:val="20"/>
          <w:szCs w:val="20"/>
        </w:rPr>
        <w:t xml:space="preserve">A.  Horse Priority</w:t>
      </w:r>
    </w:p>
    <w:p>
      <w:pPr>
        <w:keepLines/>
        <w:spacing w:after="60" w:before="60"/>
        <w:jc w:val="both"/>
      </w:pPr>
      <w:r>
        <w:rPr>
          <w:rFonts w:ascii="Times New Roman" w:cs="Times New Roman" w:eastAsia="Times New Roman" w:hAnsi="Times New Roman"/>
          <w:color w:val="0D2B4E"/>
          <w:sz w:val="20"/>
          <w:szCs w:val="20"/>
        </w:rPr>
        <w:t xml:space="preserve">In any conflict between the welfare of a horse and the efficiency of a stable operation, the welfare of the horse takes precedence. No technology system, workflow, or schedule may override this principle.</w:t>
      </w:r>
    </w:p>
    <w:p>
      <w:pPr>
        <w:keepNext/>
        <w:spacing w:after="60" w:before="160"/>
      </w:pPr>
      <w:r>
        <w:rPr>
          <w:rFonts w:ascii="Times New Roman" w:cs="Times New Roman" w:eastAsia="Times New Roman" w:hAnsi="Times New Roman"/>
          <w:b/>
          <w:bCs/>
          <w:i/>
          <w:iCs/>
          <w:color w:val="0B6E6E"/>
          <w:sz w:val="20"/>
          <w:szCs w:val="20"/>
        </w:rPr>
        <w:t xml:space="preserve">B.  Non-Delegable Human Authority</w:t>
      </w:r>
    </w:p>
    <w:p>
      <w:pPr>
        <w:keepLines/>
        <w:spacing w:after="60" w:before="60"/>
        <w:jc w:val="both"/>
      </w:pPr>
      <w:r>
        <w:rPr>
          <w:rFonts w:ascii="Times New Roman" w:cs="Times New Roman" w:eastAsia="Times New Roman" w:hAnsi="Times New Roman"/>
          <w:color w:val="0D2B4E"/>
          <w:sz w:val="20"/>
          <w:szCs w:val="20"/>
        </w:rPr>
        <w:t xml:space="preserve">All decisions affecting the health, safety, and welfare of horses remain exclusively with qualified human personnel. No AI output, robotic action, or humanoid decision constitutes a substitute for human judgment in a stable environment.</w:t>
      </w:r>
    </w:p>
    <w:p>
      <w:pPr>
        <w:keepNext/>
        <w:spacing w:after="60" w:before="160"/>
      </w:pPr>
      <w:r>
        <w:rPr>
          <w:rFonts w:ascii="Times New Roman" w:cs="Times New Roman" w:eastAsia="Times New Roman" w:hAnsi="Times New Roman"/>
          <w:b/>
          <w:bCs/>
          <w:i/>
          <w:iCs/>
          <w:color w:val="0B6E6E"/>
          <w:sz w:val="20"/>
          <w:szCs w:val="20"/>
        </w:rPr>
        <w:t xml:space="preserve">C.  Stable Terms Primacy</w:t>
      </w:r>
    </w:p>
    <w:p>
      <w:pPr>
        <w:keepLines/>
        <w:spacing w:after="60" w:before="60"/>
        <w:jc w:val="both"/>
      </w:pPr>
      <w:r>
        <w:rPr>
          <w:rFonts w:ascii="Times New Roman" w:cs="Times New Roman" w:eastAsia="Times New Roman" w:hAnsi="Times New Roman"/>
          <w:color w:val="0D2B4E"/>
          <w:sz w:val="20"/>
          <w:szCs w:val="20"/>
        </w:rPr>
        <w:t xml:space="preserve">No technology system — regardless of its commercial designation, manufacturer claims, or stated capabilities — may be deployed in a stable environment without prior assessment against the safety guidelines of that stable. The stable sets the terms. The machine adapts.</w:t>
      </w:r>
    </w:p>
    <w:p>
      <w:pPr>
        <w:keepNext/>
        <w:spacing w:after="60" w:before="160"/>
      </w:pPr>
      <w:r>
        <w:rPr>
          <w:rFonts w:ascii="Times New Roman" w:cs="Times New Roman" w:eastAsia="Times New Roman" w:hAnsi="Times New Roman"/>
          <w:b/>
          <w:bCs/>
          <w:i/>
          <w:iCs/>
          <w:color w:val="0B6E6E"/>
          <w:sz w:val="20"/>
          <w:szCs w:val="20"/>
        </w:rPr>
        <w:t xml:space="preserve">D.  Absolute Veterinary Authority</w:t>
      </w:r>
    </w:p>
    <w:p>
      <w:pPr>
        <w:keepLines/>
        <w:spacing w:after="60" w:before="60"/>
        <w:jc w:val="both"/>
      </w:pPr>
      <w:r>
        <w:rPr>
          <w:rFonts w:ascii="Times New Roman" w:cs="Times New Roman" w:eastAsia="Times New Roman" w:hAnsi="Times New Roman"/>
          <w:color w:val="0D2B4E"/>
          <w:sz w:val="20"/>
          <w:szCs w:val="20"/>
        </w:rPr>
        <w:t xml:space="preserve">All health, medication, and emergency decisions belong exclusively to qualified veterinary professionals. No technology system may act on, recommend, or substitute for veterinary authority.</w:t>
      </w:r>
    </w:p>
    <w:p>
      <w:pPr>
        <w:keepNext/>
        <w:spacing w:after="60" w:before="160"/>
      </w:pPr>
      <w:r>
        <w:rPr>
          <w:rFonts w:ascii="Times New Roman" w:cs="Times New Roman" w:eastAsia="Times New Roman" w:hAnsi="Times New Roman"/>
          <w:b/>
          <w:bCs/>
          <w:i/>
          <w:iCs/>
          <w:color w:val="0B6E6E"/>
          <w:sz w:val="20"/>
          <w:szCs w:val="20"/>
        </w:rPr>
        <w:t xml:space="preserve">E.  Source Code Visibility</w:t>
      </w:r>
    </w:p>
    <w:p>
      <w:pPr>
        <w:keepLines/>
        <w:spacing w:after="60" w:before="60"/>
        <w:jc w:val="both"/>
      </w:pPr>
      <w:r>
        <w:rPr>
          <w:rFonts w:ascii="Times New Roman" w:cs="Times New Roman" w:eastAsia="Times New Roman" w:hAnsi="Times New Roman"/>
          <w:color w:val="0D2B4E"/>
          <w:sz w:val="20"/>
          <w:szCs w:val="20"/>
        </w:rPr>
        <w:t xml:space="preserve">Any machine operating in a stable environment must have its source code visible and accessible to the stable management. A machine whose logic cannot be inspected cannot be trusted in proximity to horses and humans.</w:t>
      </w:r>
    </w:p>
    <w:p>
      <w:pPr>
        <w:keepNext/>
        <w:spacing w:after="60" w:before="160"/>
      </w:pPr>
      <w:r>
        <w:rPr>
          <w:rFonts w:ascii="Times New Roman" w:cs="Times New Roman" w:eastAsia="Times New Roman" w:hAnsi="Times New Roman"/>
          <w:b/>
          <w:bCs/>
          <w:i/>
          <w:iCs/>
          <w:color w:val="0B6E6E"/>
          <w:sz w:val="20"/>
          <w:szCs w:val="20"/>
        </w:rPr>
        <w:t xml:space="preserve">F.  Mandatory Human Operational Control</w:t>
      </w:r>
    </w:p>
    <w:p>
      <w:pPr>
        <w:keepLines/>
        <w:spacing w:after="60" w:before="60"/>
        <w:jc w:val="both"/>
      </w:pPr>
      <w:r>
        <w:rPr>
          <w:rFonts w:ascii="Times New Roman" w:cs="Times New Roman" w:eastAsia="Times New Roman" w:hAnsi="Times New Roman"/>
          <w:color w:val="0D2B4E"/>
          <w:sz w:val="20"/>
          <w:szCs w:val="20"/>
        </w:rPr>
        <w:t xml:space="preserve">No machine operating in a stable environment may take action that is beyond the knowledge or override capability of the human personnel present. Human control over stable operations is mandatory. It is the condition under which any machine is permitted to operate.</w:t>
      </w:r>
    </w:p>
    <w:p>
      <w:pPr>
        <w:spacing w:after="0" w:before="200"/>
      </w:pPr>
      <w:r>
        <w:t xml:space="preserve"/>
      </w:r>
    </w:p>
    <w:p>
      <w:pPr>
        <w:spacing w:after="100" w:before="240"/>
        <w:jc w:val="center"/>
      </w:pPr>
      <w:r>
        <w:rPr>
          <w:rFonts w:ascii="Times New Roman" w:cs="Times New Roman" w:eastAsia="Times New Roman" w:hAnsi="Times New Roman"/>
          <w:b/>
          <w:bCs/>
          <w:caps/>
          <w:color w:val="0D2B4E"/>
          <w:sz w:val="22"/>
          <w:szCs w:val="22"/>
        </w:rPr>
        <w:t xml:space="preserve">IV. Applicability</w:t>
      </w:r>
    </w:p>
    <w:p>
      <w:pPr>
        <w:pBdr>
          <w:bottom w:val="single" w:color="0B6E6E" w:sz="4" w:space="1"/>
        </w:pBdr>
        <w:spacing w:after="0" w:before="0"/>
      </w:pPr>
      <w:r>
        <w:t xml:space="preserve"/>
      </w:r>
    </w:p>
    <w:p>
      <w:pPr>
        <w:spacing w:after="0" w:before="80"/>
      </w:pPr>
      <w:r>
        <w:t xml:space="preserve"/>
      </w:r>
    </w:p>
    <w:p>
      <w:pPr>
        <w:keepLines/>
        <w:spacing w:after="60" w:before="60"/>
        <w:jc w:val="both"/>
      </w:pPr>
      <w:r>
        <w:rPr>
          <w:rFonts w:ascii="Times New Roman" w:cs="Times New Roman" w:eastAsia="Times New Roman" w:hAnsi="Times New Roman"/>
          <w:color w:val="0D2B4E"/>
          <w:sz w:val="20"/>
          <w:szCs w:val="20"/>
        </w:rPr>
        <w:t xml:space="preserve">These Ground Rules apply to all device categories defined within the Open Equine Intelligence Systems Safety Guidelines Framework, including Humanoid Machines, Biomimetic Robotic Systems, Aerial Systems, Ground Autonomous Machines, Wearable and Attached Sensor Systems, Stationary Intelligent Systems, and Algorithmic and Software Systems.</w:t>
      </w:r>
    </w:p>
    <w:p>
      <w:pPr>
        <w:spacing w:after="0" w:before="60"/>
      </w:pPr>
      <w:r>
        <w:t xml:space="preserve"/>
      </w:r>
    </w:p>
    <w:p>
      <w:pPr>
        <w:keepLines/>
        <w:spacing w:after="60" w:before="60"/>
        <w:jc w:val="both"/>
      </w:pPr>
      <w:r>
        <w:rPr>
          <w:rFonts w:ascii="Times New Roman" w:cs="Times New Roman" w:eastAsia="Times New Roman" w:hAnsi="Times New Roman"/>
          <w:color w:val="0D2B4E"/>
          <w:sz w:val="20"/>
          <w:szCs w:val="20"/>
        </w:rPr>
        <w:t xml:space="preserve">These Ground Rules apply irrespective of the commercial designation, country of manufacture, or stated purpose of any technology system deployed in a stable environment.</w:t>
      </w:r>
    </w:p>
    <w:p>
      <w:pPr>
        <w:spacing w:after="0" w:before="60"/>
      </w:pPr>
      <w:r>
        <w:t xml:space="preserve"/>
      </w:r>
    </w:p>
    <w:p>
      <w:pPr>
        <w:keepLines/>
        <w:spacing w:after="60" w:before="60"/>
        <w:jc w:val="both"/>
      </w:pPr>
      <w:r>
        <w:rPr>
          <w:rFonts w:ascii="Times New Roman" w:cs="Times New Roman" w:eastAsia="Times New Roman" w:hAnsi="Times New Roman"/>
          <w:color w:val="0D2B4E"/>
          <w:sz w:val="20"/>
          <w:szCs w:val="20"/>
        </w:rPr>
        <w:t xml:space="preserve">Stable operators who develop their own internal safety frameworks are encouraged to assess those frameworks against these Ground Rules. Where a stable’s own framework exceeds the provisions of these Ground Rules, the more protective provisions apply.</w:t>
      </w:r>
    </w:p>
    <w:p>
      <w:pPr>
        <w:spacing w:after="0" w:before="200"/>
      </w:pPr>
      <w:r>
        <w:t xml:space="preserve"/>
      </w:r>
    </w:p>
    <w:p>
      <w:pPr>
        <w:spacing w:after="100" w:before="240"/>
        <w:jc w:val="center"/>
      </w:pPr>
      <w:r>
        <w:rPr>
          <w:rFonts w:ascii="Times New Roman" w:cs="Times New Roman" w:eastAsia="Times New Roman" w:hAnsi="Times New Roman"/>
          <w:b/>
          <w:bCs/>
          <w:caps/>
          <w:color w:val="0D2B4E"/>
          <w:sz w:val="22"/>
          <w:szCs w:val="22"/>
        </w:rPr>
        <w:t xml:space="preserve">V. Governance</w:t>
      </w:r>
    </w:p>
    <w:p>
      <w:pPr>
        <w:pBdr>
          <w:bottom w:val="single" w:color="0B6E6E" w:sz="4" w:space="1"/>
        </w:pBdr>
        <w:spacing w:after="0" w:before="0"/>
      </w:pPr>
      <w:r>
        <w:t xml:space="preserve"/>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9CDD4" w:sz="1"/>
              <w:left w:val="single" w:color="C9CDD4" w:sz="1"/>
              <w:bottom w:val="single" w:color="C9CDD4" w:sz="1"/>
              <w:right w:val="single" w:color="C9CDD4" w:sz="1"/>
            </w:tcBorders>
            <w:shd w:fill="0D2B4E" w:val="clear"/>
            <w:tcMar>
              <w:top w:type="dxa" w:w="80"/>
              <w:left w:type="dxa" w:w="140"/>
              <w:bottom w:type="dxa" w:w="80"/>
              <w:right w:type="dxa" w:w="140"/>
            </w:tcMar>
          </w:tcPr>
          <w:p>
            <w:r>
              <w:rPr>
                <w:rFonts w:ascii="Calibri" w:cs="Calibri" w:eastAsia="Calibri" w:hAnsi="Calibri"/>
                <w:b/>
                <w:bCs/>
                <w:color w:val="FFFFFF"/>
                <w:sz w:val="17"/>
                <w:szCs w:val="17"/>
              </w:rPr>
              <w:t xml:space="preserve">Issuing Body</w:t>
            </w:r>
          </w:p>
        </w:tc>
        <w:tc>
          <w:tcPr>
            <w:tcW w:type="dxa" w:w="7160"/>
            <w:tcBorders>
              <w:top w:val="single" w:color="C9CDD4" w:sz="1"/>
              <w:left w:val="single" w:color="C9CDD4" w:sz="1"/>
              <w:bottom w:val="single" w:color="C9CDD4" w:sz="1"/>
              <w:right w:val="single" w:color="C9CDD4" w:sz="1"/>
            </w:tcBorders>
            <w:shd w:fill="FFFFFF" w:val="clear"/>
            <w:tcMar>
              <w:top w:type="dxa" w:w="80"/>
              <w:left w:type="dxa" w:w="140"/>
              <w:bottom w:type="dxa" w:w="80"/>
              <w:right w:type="dxa" w:w="140"/>
            </w:tcMar>
          </w:tcPr>
          <w:p>
            <w:r>
              <w:rPr>
                <w:rFonts w:ascii="Calibri" w:cs="Calibri" w:eastAsia="Calibri" w:hAnsi="Calibri"/>
                <w:color w:val="0D2B4E"/>
                <w:sz w:val="17"/>
                <w:szCs w:val="17"/>
              </w:rPr>
              <w:t xml:space="preserve">Open Equine Intelligence Systems — Horse AI</w:t>
            </w:r>
          </w:p>
        </w:tc>
      </w:tr>
      <w:tr>
        <w:tc>
          <w:tcPr>
            <w:tcW w:type="dxa" w:w="2200"/>
            <w:tcBorders>
              <w:top w:val="single" w:color="C9CDD4" w:sz="1"/>
              <w:left w:val="single" w:color="C9CDD4" w:sz="1"/>
              <w:bottom w:val="single" w:color="C9CDD4" w:sz="1"/>
              <w:right w:val="single" w:color="C9CDD4" w:sz="1"/>
            </w:tcBorders>
            <w:shd w:fill="0D2B4E" w:val="clear"/>
            <w:tcMar>
              <w:top w:type="dxa" w:w="80"/>
              <w:left w:type="dxa" w:w="140"/>
              <w:bottom w:type="dxa" w:w="80"/>
              <w:right w:type="dxa" w:w="140"/>
            </w:tcMar>
          </w:tcPr>
          <w:p>
            <w:r>
              <w:rPr>
                <w:rFonts w:ascii="Calibri" w:cs="Calibri" w:eastAsia="Calibri" w:hAnsi="Calibri"/>
                <w:b/>
                <w:bCs/>
                <w:color w:val="FFFFFF"/>
                <w:sz w:val="17"/>
                <w:szCs w:val="17"/>
              </w:rPr>
              <w:t xml:space="preserve">Organisation</w:t>
            </w:r>
          </w:p>
        </w:tc>
        <w:tc>
          <w:tcPr>
            <w:tcW w:type="dxa" w:w="7160"/>
            <w:tcBorders>
              <w:top w:val="single" w:color="C9CDD4" w:sz="1"/>
              <w:left w:val="single" w:color="C9CDD4" w:sz="1"/>
              <w:bottom w:val="single" w:color="C9CDD4" w:sz="1"/>
              <w:right w:val="single" w:color="C9CDD4" w:sz="1"/>
            </w:tcBorders>
            <w:shd w:fill="F7F8FA" w:val="clear"/>
            <w:tcMar>
              <w:top w:type="dxa" w:w="80"/>
              <w:left w:type="dxa" w:w="140"/>
              <w:bottom w:type="dxa" w:w="80"/>
              <w:right w:type="dxa" w:w="140"/>
            </w:tcMar>
          </w:tcPr>
          <w:p>
            <w:r>
              <w:rPr>
                <w:rFonts w:ascii="Calibri" w:cs="Calibri" w:eastAsia="Calibri" w:hAnsi="Calibri"/>
                <w:color w:val="0D2B4E"/>
                <w:sz w:val="17"/>
                <w:szCs w:val="17"/>
              </w:rPr>
              <w:t xml:space="preserve">A TechXZone Pvt Ltd Initiative</w:t>
            </w:r>
          </w:p>
        </w:tc>
      </w:tr>
      <w:tr>
        <w:tc>
          <w:tcPr>
            <w:tcW w:type="dxa" w:w="2200"/>
            <w:tcBorders>
              <w:top w:val="single" w:color="C9CDD4" w:sz="1"/>
              <w:left w:val="single" w:color="C9CDD4" w:sz="1"/>
              <w:bottom w:val="single" w:color="C9CDD4" w:sz="1"/>
              <w:right w:val="single" w:color="C9CDD4" w:sz="1"/>
            </w:tcBorders>
            <w:shd w:fill="0D2B4E" w:val="clear"/>
            <w:tcMar>
              <w:top w:type="dxa" w:w="80"/>
              <w:left w:type="dxa" w:w="140"/>
              <w:bottom w:type="dxa" w:w="80"/>
              <w:right w:type="dxa" w:w="140"/>
            </w:tcMar>
          </w:tcPr>
          <w:p>
            <w:r>
              <w:rPr>
                <w:rFonts w:ascii="Calibri" w:cs="Calibri" w:eastAsia="Calibri" w:hAnsi="Calibri"/>
                <w:b/>
                <w:bCs/>
                <w:color w:val="FFFFFF"/>
                <w:sz w:val="17"/>
                <w:szCs w:val="17"/>
              </w:rPr>
              <w:t xml:space="preserve">Reference</w:t>
            </w:r>
          </w:p>
        </w:tc>
        <w:tc>
          <w:tcPr>
            <w:tcW w:type="dxa" w:w="7160"/>
            <w:tcBorders>
              <w:top w:val="single" w:color="C9CDD4" w:sz="1"/>
              <w:left w:val="single" w:color="C9CDD4" w:sz="1"/>
              <w:bottom w:val="single" w:color="C9CDD4" w:sz="1"/>
              <w:right w:val="single" w:color="C9CDD4" w:sz="1"/>
            </w:tcBorders>
            <w:shd w:fill="FFFFFF" w:val="clear"/>
            <w:tcMar>
              <w:top w:type="dxa" w:w="80"/>
              <w:left w:type="dxa" w:w="140"/>
              <w:bottom w:type="dxa" w:w="80"/>
              <w:right w:type="dxa" w:w="140"/>
            </w:tcMar>
          </w:tcPr>
          <w:p>
            <w:r>
              <w:rPr>
                <w:rFonts w:ascii="Calibri" w:cs="Calibri" w:eastAsia="Calibri" w:hAnsi="Calibri"/>
                <w:color w:val="0D2B4E"/>
                <w:sz w:val="17"/>
                <w:szCs w:val="17"/>
              </w:rPr>
              <w:t xml:space="preserve">OE-HRA-001</w:t>
            </w:r>
          </w:p>
        </w:tc>
      </w:tr>
      <w:tr>
        <w:tc>
          <w:tcPr>
            <w:tcW w:type="dxa" w:w="2200"/>
            <w:tcBorders>
              <w:top w:val="single" w:color="C9CDD4" w:sz="1"/>
              <w:left w:val="single" w:color="C9CDD4" w:sz="1"/>
              <w:bottom w:val="single" w:color="C9CDD4" w:sz="1"/>
              <w:right w:val="single" w:color="C9CDD4" w:sz="1"/>
            </w:tcBorders>
            <w:shd w:fill="0D2B4E" w:val="clear"/>
            <w:tcMar>
              <w:top w:type="dxa" w:w="80"/>
              <w:left w:type="dxa" w:w="140"/>
              <w:bottom w:type="dxa" w:w="80"/>
              <w:right w:type="dxa" w:w="140"/>
            </w:tcMar>
          </w:tcPr>
          <w:p>
            <w:r>
              <w:rPr>
                <w:rFonts w:ascii="Calibri" w:cs="Calibri" w:eastAsia="Calibri" w:hAnsi="Calibri"/>
                <w:b/>
                <w:bCs/>
                <w:color w:val="FFFFFF"/>
                <w:sz w:val="17"/>
                <w:szCs w:val="17"/>
              </w:rPr>
              <w:t xml:space="preserve">Version</w:t>
            </w:r>
          </w:p>
        </w:tc>
        <w:tc>
          <w:tcPr>
            <w:tcW w:type="dxa" w:w="7160"/>
            <w:tcBorders>
              <w:top w:val="single" w:color="C9CDD4" w:sz="1"/>
              <w:left w:val="single" w:color="C9CDD4" w:sz="1"/>
              <w:bottom w:val="single" w:color="C9CDD4" w:sz="1"/>
              <w:right w:val="single" w:color="C9CDD4" w:sz="1"/>
            </w:tcBorders>
            <w:shd w:fill="F7F8FA" w:val="clear"/>
            <w:tcMar>
              <w:top w:type="dxa" w:w="80"/>
              <w:left w:type="dxa" w:w="140"/>
              <w:bottom w:type="dxa" w:w="80"/>
              <w:right w:type="dxa" w:w="140"/>
            </w:tcMar>
          </w:tcPr>
          <w:p>
            <w:r>
              <w:rPr>
                <w:rFonts w:ascii="Calibri" w:cs="Calibri" w:eastAsia="Calibri" w:hAnsi="Calibri"/>
                <w:color w:val="0D2B4E"/>
                <w:sz w:val="17"/>
                <w:szCs w:val="17"/>
              </w:rPr>
              <w:t xml:space="preserve">1.0 — May 2026</w:t>
            </w:r>
          </w:p>
        </w:tc>
      </w:tr>
      <w:tr>
        <w:tc>
          <w:tcPr>
            <w:tcW w:type="dxa" w:w="2200"/>
            <w:tcBorders>
              <w:top w:val="single" w:color="C9CDD4" w:sz="1"/>
              <w:left w:val="single" w:color="C9CDD4" w:sz="1"/>
              <w:bottom w:val="single" w:color="C9CDD4" w:sz="1"/>
              <w:right w:val="single" w:color="C9CDD4" w:sz="1"/>
            </w:tcBorders>
            <w:shd w:fill="0D2B4E" w:val="clear"/>
            <w:tcMar>
              <w:top w:type="dxa" w:w="80"/>
              <w:left w:type="dxa" w:w="140"/>
              <w:bottom w:type="dxa" w:w="80"/>
              <w:right w:type="dxa" w:w="140"/>
            </w:tcMar>
          </w:tcPr>
          <w:p>
            <w:r>
              <w:rPr>
                <w:rFonts w:ascii="Calibri" w:cs="Calibri" w:eastAsia="Calibri" w:hAnsi="Calibri"/>
                <w:b/>
                <w:bCs/>
                <w:color w:val="FFFFFF"/>
                <w:sz w:val="17"/>
                <w:szCs w:val="17"/>
              </w:rPr>
              <w:t xml:space="preserve">Release</w:t>
            </w:r>
          </w:p>
        </w:tc>
        <w:tc>
          <w:tcPr>
            <w:tcW w:type="dxa" w:w="7160"/>
            <w:tcBorders>
              <w:top w:val="single" w:color="C9CDD4" w:sz="1"/>
              <w:left w:val="single" w:color="C9CDD4" w:sz="1"/>
              <w:bottom w:val="single" w:color="C9CDD4" w:sz="1"/>
              <w:right w:val="single" w:color="C9CDD4" w:sz="1"/>
            </w:tcBorders>
            <w:shd w:fill="FFFFFF" w:val="clear"/>
            <w:tcMar>
              <w:top w:type="dxa" w:w="80"/>
              <w:left w:type="dxa" w:w="140"/>
              <w:bottom w:type="dxa" w:w="80"/>
              <w:right w:type="dxa" w:w="140"/>
            </w:tcMar>
          </w:tcPr>
          <w:p>
            <w:r>
              <w:rPr>
                <w:rFonts w:ascii="Calibri" w:cs="Calibri" w:eastAsia="Calibri" w:hAnsi="Calibri"/>
                <w:color w:val="0D2B4E"/>
                <w:sz w:val="17"/>
                <w:szCs w:val="17"/>
              </w:rPr>
              <w:t xml:space="preserve">Public domain. Free of cost. Attribution required on adoption or adaptation.</w:t>
            </w:r>
          </w:p>
        </w:tc>
      </w:tr>
      <w:tr>
        <w:tc>
          <w:tcPr>
            <w:tcW w:type="dxa" w:w="2200"/>
            <w:tcBorders>
              <w:top w:val="single" w:color="C9CDD4" w:sz="1"/>
              <w:left w:val="single" w:color="C9CDD4" w:sz="1"/>
              <w:bottom w:val="single" w:color="C9CDD4" w:sz="1"/>
              <w:right w:val="single" w:color="C9CDD4" w:sz="1"/>
            </w:tcBorders>
            <w:shd w:fill="0D2B4E" w:val="clear"/>
            <w:tcMar>
              <w:top w:type="dxa" w:w="80"/>
              <w:left w:type="dxa" w:w="140"/>
              <w:bottom w:type="dxa" w:w="80"/>
              <w:right w:type="dxa" w:w="140"/>
            </w:tcMar>
          </w:tcPr>
          <w:p>
            <w:r>
              <w:rPr>
                <w:rFonts w:ascii="Calibri" w:cs="Calibri" w:eastAsia="Calibri" w:hAnsi="Calibri"/>
                <w:b/>
                <w:bCs/>
                <w:color w:val="FFFFFF"/>
                <w:sz w:val="17"/>
                <w:szCs w:val="17"/>
              </w:rPr>
              <w:t xml:space="preserve">Review Cycle</w:t>
            </w:r>
          </w:p>
        </w:tc>
        <w:tc>
          <w:tcPr>
            <w:tcW w:type="dxa" w:w="7160"/>
            <w:tcBorders>
              <w:top w:val="single" w:color="C9CDD4" w:sz="1"/>
              <w:left w:val="single" w:color="C9CDD4" w:sz="1"/>
              <w:bottom w:val="single" w:color="C9CDD4" w:sz="1"/>
              <w:right w:val="single" w:color="C9CDD4" w:sz="1"/>
            </w:tcBorders>
            <w:shd w:fill="F7F8FA" w:val="clear"/>
            <w:tcMar>
              <w:top w:type="dxa" w:w="80"/>
              <w:left w:type="dxa" w:w="140"/>
              <w:bottom w:type="dxa" w:w="80"/>
              <w:right w:type="dxa" w:w="140"/>
            </w:tcMar>
          </w:tcPr>
          <w:p>
            <w:r>
              <w:rPr>
                <w:rFonts w:ascii="Calibri" w:cs="Calibri" w:eastAsia="Calibri" w:hAnsi="Calibri"/>
                <w:color w:val="0D2B4E"/>
                <w:sz w:val="17"/>
                <w:szCs w:val="17"/>
              </w:rPr>
              <w:t xml:space="preserve">This is a living document. Release cycle and review phases are announced on openequine.org.</w:t>
            </w:r>
          </w:p>
        </w:tc>
      </w:tr>
      <w:tr>
        <w:tc>
          <w:tcPr>
            <w:tcW w:type="dxa" w:w="2200"/>
            <w:tcBorders>
              <w:top w:val="single" w:color="C9CDD4" w:sz="1"/>
              <w:left w:val="single" w:color="C9CDD4" w:sz="1"/>
              <w:bottom w:val="single" w:color="C9CDD4" w:sz="1"/>
              <w:right w:val="single" w:color="C9CDD4" w:sz="1"/>
            </w:tcBorders>
            <w:shd w:fill="0D2B4E" w:val="clear"/>
            <w:tcMar>
              <w:top w:type="dxa" w:w="80"/>
              <w:left w:type="dxa" w:w="140"/>
              <w:bottom w:type="dxa" w:w="80"/>
              <w:right w:type="dxa" w:w="140"/>
            </w:tcMar>
          </w:tcPr>
          <w:p>
            <w:r>
              <w:rPr>
                <w:rFonts w:ascii="Calibri" w:cs="Calibri" w:eastAsia="Calibri" w:hAnsi="Calibri"/>
                <w:b/>
                <w:bCs/>
                <w:color w:val="FFFFFF"/>
                <w:sz w:val="17"/>
                <w:szCs w:val="17"/>
              </w:rPr>
              <w:t xml:space="preserve">Liability</w:t>
            </w:r>
          </w:p>
        </w:tc>
        <w:tc>
          <w:tcPr>
            <w:tcW w:type="dxa" w:w="7160"/>
            <w:tcBorders>
              <w:top w:val="single" w:color="C9CDD4" w:sz="1"/>
              <w:left w:val="single" w:color="C9CDD4" w:sz="1"/>
              <w:bottom w:val="single" w:color="C9CDD4" w:sz="1"/>
              <w:right w:val="single" w:color="C9CDD4" w:sz="1"/>
            </w:tcBorders>
            <w:shd w:fill="FFFFFF" w:val="clear"/>
            <w:tcMar>
              <w:top w:type="dxa" w:w="80"/>
              <w:left w:type="dxa" w:w="140"/>
              <w:bottom w:type="dxa" w:w="80"/>
              <w:right w:type="dxa" w:w="140"/>
            </w:tcMar>
          </w:tcPr>
          <w:p>
            <w:r>
              <w:rPr>
                <w:rFonts w:ascii="Calibri" w:cs="Calibri" w:eastAsia="Calibri" w:hAnsi="Calibri"/>
                <w:color w:val="0D2B4E"/>
                <w:sz w:val="17"/>
                <w:szCs w:val="17"/>
              </w:rPr>
              <w:t xml:space="preserve">Remains with stable management at all times.</w:t>
            </w:r>
          </w:p>
        </w:tc>
      </w:tr>
      <w:tr>
        <w:tc>
          <w:tcPr>
            <w:tcW w:type="dxa" w:w="2200"/>
            <w:tcBorders>
              <w:top w:val="single" w:color="C9CDD4" w:sz="1"/>
              <w:left w:val="single" w:color="C9CDD4" w:sz="1"/>
              <w:bottom w:val="single" w:color="C9CDD4" w:sz="1"/>
              <w:right w:val="single" w:color="C9CDD4" w:sz="1"/>
            </w:tcBorders>
            <w:shd w:fill="0D2B4E" w:val="clear"/>
            <w:tcMar>
              <w:top w:type="dxa" w:w="80"/>
              <w:left w:type="dxa" w:w="140"/>
              <w:bottom w:type="dxa" w:w="80"/>
              <w:right w:type="dxa" w:w="140"/>
            </w:tcMar>
          </w:tcPr>
          <w:p>
            <w:r>
              <w:rPr>
                <w:rFonts w:ascii="Calibri" w:cs="Calibri" w:eastAsia="Calibri" w:hAnsi="Calibri"/>
                <w:b/>
                <w:bCs/>
                <w:color w:val="FFFFFF"/>
                <w:sz w:val="17"/>
                <w:szCs w:val="17"/>
              </w:rPr>
              <w:t xml:space="preserve">Contributions</w:t>
            </w:r>
          </w:p>
        </w:tc>
        <w:tc>
          <w:tcPr>
            <w:tcW w:type="dxa" w:w="7160"/>
            <w:tcBorders>
              <w:top w:val="single" w:color="C9CDD4" w:sz="1"/>
              <w:left w:val="single" w:color="C9CDD4" w:sz="1"/>
              <w:bottom w:val="single" w:color="C9CDD4" w:sz="1"/>
              <w:right w:val="single" w:color="C9CDD4" w:sz="1"/>
            </w:tcBorders>
            <w:shd w:fill="F7F8FA" w:val="clear"/>
            <w:tcMar>
              <w:top w:type="dxa" w:w="80"/>
              <w:left w:type="dxa" w:w="140"/>
              <w:bottom w:type="dxa" w:w="80"/>
              <w:right w:type="dxa" w:w="140"/>
            </w:tcMar>
          </w:tcPr>
          <w:p>
            <w:r>
              <w:rPr>
                <w:rFonts w:ascii="Calibri" w:cs="Calibri" w:eastAsia="Calibri" w:hAnsi="Calibri"/>
                <w:color w:val="0D2B4E"/>
                <w:sz w:val="17"/>
                <w:szCs w:val="17"/>
              </w:rPr>
              <w:t xml:space="preserve">openequine.org   |   contact@openequine.org</w:t>
            </w:r>
          </w:p>
        </w:tc>
      </w:tr>
      <w:tr>
        <w:tc>
          <w:tcPr>
            <w:tcW w:type="dxa" w:w="2200"/>
            <w:tcBorders>
              <w:top w:val="single" w:color="C9CDD4" w:sz="1"/>
              <w:left w:val="single" w:color="C9CDD4" w:sz="1"/>
              <w:bottom w:val="single" w:color="C9CDD4" w:sz="1"/>
              <w:right w:val="single" w:color="C9CDD4" w:sz="1"/>
            </w:tcBorders>
            <w:shd w:fill="0D2B4E" w:val="clear"/>
            <w:tcMar>
              <w:top w:type="dxa" w:w="80"/>
              <w:left w:type="dxa" w:w="140"/>
              <w:bottom w:type="dxa" w:w="80"/>
              <w:right w:type="dxa" w:w="140"/>
            </w:tcMar>
          </w:tcPr>
          <w:p>
            <w:r>
              <w:rPr>
                <w:rFonts w:ascii="Calibri" w:cs="Calibri" w:eastAsia="Calibri" w:hAnsi="Calibri"/>
                <w:b/>
                <w:bCs/>
                <w:color w:val="FFFFFF"/>
                <w:sz w:val="17"/>
                <w:szCs w:val="17"/>
              </w:rPr>
              <w:t xml:space="preserve">Code Licence</w:t>
            </w:r>
          </w:p>
        </w:tc>
        <w:tc>
          <w:tcPr>
            <w:tcW w:type="dxa" w:w="7160"/>
            <w:tcBorders>
              <w:top w:val="single" w:color="C9CDD4" w:sz="1"/>
              <w:left w:val="single" w:color="C9CDD4" w:sz="1"/>
              <w:bottom w:val="single" w:color="C9CDD4" w:sz="1"/>
              <w:right w:val="single" w:color="C9CDD4" w:sz="1"/>
            </w:tcBorders>
            <w:shd w:fill="FFFFFF" w:val="clear"/>
            <w:tcMar>
              <w:top w:type="dxa" w:w="80"/>
              <w:left w:type="dxa" w:w="140"/>
              <w:bottom w:type="dxa" w:w="80"/>
              <w:right w:type="dxa" w:w="140"/>
            </w:tcMar>
          </w:tcPr>
          <w:p>
            <w:r>
              <w:rPr>
                <w:rFonts w:ascii="Calibri" w:cs="Calibri" w:eastAsia="Calibri" w:hAnsi="Calibri"/>
                <w:color w:val="0D2B4E"/>
                <w:sz w:val="17"/>
                <w:szCs w:val="17"/>
              </w:rPr>
              <w:t xml:space="preserve">AGPLv3 — https://www.gnu.org/licenses/agpl-3.0</w:t>
            </w:r>
          </w:p>
        </w:tc>
      </w:tr>
      <w:tr>
        <w:tc>
          <w:tcPr>
            <w:tcW w:type="dxa" w:w="2200"/>
            <w:tcBorders>
              <w:top w:val="single" w:color="C9CDD4" w:sz="1"/>
              <w:left w:val="single" w:color="C9CDD4" w:sz="1"/>
              <w:bottom w:val="single" w:color="C9CDD4" w:sz="1"/>
              <w:right w:val="single" w:color="C9CDD4" w:sz="1"/>
            </w:tcBorders>
            <w:shd w:fill="0D2B4E" w:val="clear"/>
            <w:tcMar>
              <w:top w:type="dxa" w:w="80"/>
              <w:left w:type="dxa" w:w="140"/>
              <w:bottom w:type="dxa" w:w="80"/>
              <w:right w:type="dxa" w:w="140"/>
            </w:tcMar>
          </w:tcPr>
          <w:p>
            <w:r>
              <w:rPr>
                <w:rFonts w:ascii="Calibri" w:cs="Calibri" w:eastAsia="Calibri" w:hAnsi="Calibri"/>
                <w:b/>
                <w:bCs/>
                <w:color w:val="FFFFFF"/>
                <w:sz w:val="17"/>
                <w:szCs w:val="17"/>
              </w:rPr>
              <w:t xml:space="preserve">Doc Licence</w:t>
            </w:r>
          </w:p>
        </w:tc>
        <w:tc>
          <w:tcPr>
            <w:tcW w:type="dxa" w:w="7160"/>
            <w:tcBorders>
              <w:top w:val="single" w:color="C9CDD4" w:sz="1"/>
              <w:left w:val="single" w:color="C9CDD4" w:sz="1"/>
              <w:bottom w:val="single" w:color="C9CDD4" w:sz="1"/>
              <w:right w:val="single" w:color="C9CDD4" w:sz="1"/>
            </w:tcBorders>
            <w:shd w:fill="F7F8FA" w:val="clear"/>
            <w:tcMar>
              <w:top w:type="dxa" w:w="80"/>
              <w:left w:type="dxa" w:w="140"/>
              <w:bottom w:type="dxa" w:w="80"/>
              <w:right w:type="dxa" w:w="140"/>
            </w:tcMar>
          </w:tcPr>
          <w:p>
            <w:r>
              <w:rPr>
                <w:rFonts w:ascii="Calibri" w:cs="Calibri" w:eastAsia="Calibri" w:hAnsi="Calibri"/>
                <w:color w:val="0D2B4E"/>
                <w:sz w:val="17"/>
                <w:szCs w:val="17"/>
              </w:rPr>
              <w:t xml:space="preserve">CC-BY-SA 4.0 — https://creativecommons.org/licenses/by-sa/4.0/legalcode</w:t>
            </w:r>
          </w:p>
        </w:tc>
      </w:tr>
    </w:tbl>
    <w:p>
      <w:pPr>
        <w:spacing w:after="0" w:before="240"/>
      </w:pPr>
      <w:r>
        <w:t xml:space="preserve"/>
      </w:r>
    </w:p>
    <w:p>
      <w:pPr>
        <w:pBdr>
          <w:bottom w:val="single" w:color="0B6E6E" w:sz="6" w:space="1"/>
        </w:pBdr>
        <w:spacing w:after="0" w:before="0"/>
      </w:pPr>
      <w:r>
        <w:t xml:space="preserve"/>
      </w:r>
    </w:p>
    <w:p>
      <w:pPr>
        <w:spacing w:after="0" w:before="100"/>
      </w:pPr>
      <w:r>
        <w:t xml:space="preserve"/>
      </w:r>
    </w:p>
    <w:p>
      <w:pPr>
        <w:spacing w:after="60" w:before="0"/>
        <w:jc w:val="center"/>
      </w:pPr>
      <w:r>
        <w:rPr>
          <w:rFonts w:ascii="Times New Roman" w:cs="Times New Roman" w:eastAsia="Times New Roman" w:hAnsi="Times New Roman"/>
          <w:i/>
          <w:iCs/>
          <w:color w:val="0D2B4E"/>
          <w:sz w:val="20"/>
          <w:szCs w:val="20"/>
        </w:rPr>
        <w:t xml:space="preserve">These Ground Rules are established for the safety of horses, humans, and machines in the stable.</w:t>
      </w:r>
    </w:p>
    <w:p>
      <w:pPr>
        <w:spacing w:after="0" w:before="0"/>
        <w:jc w:val="center"/>
      </w:pPr>
      <w:r>
        <w:rPr>
          <w:rFonts w:ascii="Calibri" w:cs="Calibri" w:eastAsia="Calibri" w:hAnsi="Calibri"/>
          <w:color w:val="5A6472"/>
          <w:sz w:val="15"/>
          <w:szCs w:val="15"/>
        </w:rPr>
        <w:t xml:space="preserve">Open Equine   |   Open Equine Intelligence Systems — Horse AI   |   A TechXZone Pvt Ltd Initiative   |   openequine.org   |   OE-HRA-001   |   v1.0   |   May 2026</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B6E6E" w:sz="4" w:space="1"/>
      </w:pBdr>
      <w:spacing w:after="0" w:before="80"/>
      <w:jc w:val="center"/>
    </w:pPr>
    <w:r>
      <w:rPr>
        <w:rFonts w:ascii="Calibri" w:cs="Calibri" w:eastAsia="Calibri" w:hAnsi="Calibri"/>
        <w:color w:val="5A6472"/>
        <w:sz w:val="14"/>
        <w:szCs w:val="14"/>
      </w:rPr>
      <w:t xml:space="preserve">OE-HRA-001   |   Humanoids, AI &amp; Robots in Equine Stables — Equine Safety Oriented Ground Rules   |   Version 1.0   |   May 2026   |   CC-BY-SA 4.0</w:t>
    </w:r>
  </w:p>
  <w:p>
    <w:pPr>
      <w:spacing w:after="0" w:before="0"/>
      <w:jc w:val="center"/>
    </w:pPr>
    <w:r>
      <w:rPr>
        <w:rFonts w:ascii="Calibri" w:cs="Calibri" w:eastAsia="Calibri" w:hAnsi="Calibri"/>
        <w:color w:val="5A6472"/>
        <w:sz w:val="14"/>
        <w:szCs w:val="14"/>
      </w:rPr>
      <w:t xml:space="preserve">Page </w:t>
    </w:r>
    <w:r>
      <w:rPr>
        <w:rFonts w:ascii="Calibri" w:cs="Calibri" w:eastAsia="Calibri" w:hAnsi="Calibri"/>
        <w:color w:val="5A6472"/>
        <w:sz w:val="14"/>
        <w:szCs w:val="14"/>
      </w:rPr>
      <w:fldChar w:fldCharType="begin"/>
      <w:instrText xml:space="preserve">PAGE</w:instrText>
      <w:fldChar w:fldCharType="separate"/>
      <w:fldChar w:fldCharType="end"/>
    </w:r>
    <w:r>
      <w:rPr>
        <w:rFonts w:ascii="Calibri" w:cs="Calibri" w:eastAsia="Calibri" w:hAnsi="Calibri"/>
        <w:color w:val="5A6472"/>
        <w:sz w:val="14"/>
        <w:szCs w:val="14"/>
      </w:rPr>
      <w:t xml:space="preserve"> of </w:t>
    </w:r>
    <w:r>
      <w:rPr>
        <w:rFonts w:ascii="Calibri" w:cs="Calibri" w:eastAsia="Calibri" w:hAnsi="Calibri"/>
        <w:color w:val="5A6472"/>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B6E6E" w:sz="6" w:space="1"/>
      </w:pBdr>
      <w:tabs>
        <w:tab w:val="right" w:pos="9026"/>
      </w:tabs>
      <w:spacing w:after="120" w:before="0"/>
    </w:pPr>
    <w:r>
      <w:rPr>
        <w:rFonts w:ascii="Calibri" w:cs="Calibri" w:eastAsia="Calibri" w:hAnsi="Calibri"/>
        <w:b/>
        <w:bCs/>
        <w:color w:val="0B6E6E"/>
        <w:sz w:val="16"/>
        <w:szCs w:val="16"/>
      </w:rPr>
      <w:t xml:space="preserve">OPEN EQUINE</w:t>
    </w:r>
    <w:r>
      <w:rPr>
        <w:rFonts w:ascii="Calibri" w:cs="Calibri" w:eastAsia="Calibri" w:hAnsi="Calibri"/>
        <w:color w:val="5A6472"/>
        <w:sz w:val="16"/>
        <w:szCs w:val="16"/>
      </w:rPr>
      <w:t xml:space="preserve">   Open Equine Intelligence Systems — Horse AI   |   A TechXZone Pvt Ltd Initiative</w:t>
    </w:r>
    <w:r>
      <w:rPr>
        <w:rFonts w:ascii="Calibri" w:cs="Calibri" w:eastAsia="Calibri" w:hAnsi="Calibri"/>
        <w:color w:val="5A6472"/>
        <w:sz w:val="16"/>
        <w:szCs w:val="16"/>
      </w:rPr>
      <w:t xml:space="preserve">	OE-HRA-001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b416181e1335694f99b51ffdf85315dbd83ddb0.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2026-05-25T08:24:15.378Z</dcterms:created>
  <dcterms:modified xsi:type="dcterms:W3CDTF">2026-05-25T08:24:15.378Z</dcterms:modified>
</cp:coreProperties>
</file>

<file path=docProps/custom.xml><?xml version="1.0" encoding="utf-8"?>
<Properties xmlns="http://schemas.openxmlformats.org/officeDocument/2006/custom-properties" xmlns:vt="http://schemas.openxmlformats.org/officeDocument/2006/docPropsVTypes"/>
</file>