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7D1238"/>
          <w:sz w:val="68"/>
        </w:rPr>
        <w:t>Live Boiler/Furnace</w:t>
        <w:br/>
        <w:t>Transient Simulator</w:t>
      </w:r>
    </w:p>
    <w:p>
      <w:pPr>
        <w:jc w:val="center"/>
      </w:pPr>
      <w:r>
        <w:rPr>
          <w:color w:val="2D2D2D"/>
          <w:sz w:val="44"/>
        </w:rPr>
        <w:t>Short Teaching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840"/>
            <w:shd w:fill="EAF1F5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b/>
                <w:color w:val="7D1238"/>
                <w:sz w:val="26"/>
              </w:rPr>
              <w:t xml:space="preserve">Purpose: </w:t>
            </w:r>
            <w:r>
              <w:rPr>
                <w:sz w:val="26"/>
              </w:rPr>
              <w:t>A compact guide to what the simulator represents, what students can learn from it, and where its educational limits are.</w:t>
            </w:r>
          </w:p>
        </w:tc>
      </w:tr>
    </w:tbl>
    <w:p>
      <w:pPr>
        <w:spacing w:after="0"/>
      </w:pPr>
    </w:p>
    <w:p>
      <w:pPr>
        <w:spacing w:before="800"/>
        <w:jc w:val="center"/>
      </w:pPr>
      <w:r>
        <w:rPr>
          <w:color w:val="5A5A5A"/>
          <w:sz w:val="26"/>
        </w:rPr>
        <w:t>Mohsin Mohd Sies, HiREF, UTM - 2026</w:t>
      </w:r>
    </w:p>
    <w:p>
      <w:r>
        <w:br w:type="page"/>
      </w:r>
    </w:p>
    <w:p>
      <w:pPr>
        <w:spacing w:after="120"/>
        <w:jc w:val="left"/>
      </w:pPr>
      <w:r>
        <w:rPr>
          <w:b/>
          <w:color w:val="7D1238"/>
          <w:sz w:val="56"/>
        </w:rPr>
        <w:t>1. What It Is</w:t>
      </w:r>
    </w:p>
    <w:p>
      <w:pPr>
        <w:spacing w:after="240"/>
      </w:pPr>
      <w:r>
        <w:rPr>
          <w:color w:val="505050"/>
          <w:sz w:val="24"/>
        </w:rPr>
        <w:t>A reduced-order, interactive teaching model of a fired boiler and its controls</w:t>
      </w:r>
    </w:p>
    <w:p>
      <w:pPr>
        <w:pStyle w:val="ListBullet"/>
        <w:spacing w:after="100"/>
        <w:ind w:left="360" w:hanging="259"/>
      </w:pPr>
      <w:r>
        <w:rPr>
          <w:sz w:val="30"/>
        </w:rPr>
        <w:t>A live transient simulator linking furnace combustion, heat transfer, steam generation, drum level, control action, alarms and selected faults.</w:t>
      </w:r>
    </w:p>
    <w:p>
      <w:pPr>
        <w:pStyle w:val="ListBullet"/>
        <w:spacing w:after="100"/>
        <w:ind w:left="360" w:hanging="259"/>
      </w:pPr>
      <w:r>
        <w:rPr>
          <w:sz w:val="30"/>
        </w:rPr>
        <w:t>A UTM-branded desktop PyQt application with a two-second startup splash, dashboard logo, adjustable inputs, virtual instrumentation, guided demo mode, case loading and CSV logging.</w:t>
      </w:r>
    </w:p>
    <w:p>
      <w:pPr>
        <w:pStyle w:val="ListBullet"/>
        <w:spacing w:after="100"/>
        <w:ind w:left="360" w:hanging="259"/>
      </w:pPr>
      <w:r>
        <w:rPr>
          <w:sz w:val="30"/>
        </w:rPr>
        <w:t>A systems-level learning environment: students observe how changes on the fuel/air side propagate into steam-side and control-system behaviour.</w:t>
      </w:r>
    </w:p>
    <w:p>
      <w:pPr>
        <w:pStyle w:val="ListBullet"/>
        <w:spacing w:after="100"/>
        <w:ind w:left="360" w:hanging="259"/>
      </w:pPr>
      <w:r>
        <w:rPr>
          <w:sz w:val="30"/>
        </w:rPr>
        <w:t>It represents a generic industrial drum boiler rather than one named manufacturer, burner, boiler geometry or power station.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840"/>
            <w:shd w:fill="F3E8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b/>
                <w:color w:val="7D1238"/>
                <w:sz w:val="26"/>
              </w:rPr>
              <w:t xml:space="preserve">Teaching role: </w:t>
            </w:r>
            <w:r>
              <w:rPr>
                <w:sz w:val="26"/>
              </w:rPr>
              <w:t>It sits between hand calculations and high-fidelity plant simulation: more dynamic and integrated than a worksheet, but intentionally simpler than engineering design software.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20"/>
        <w:jc w:val="left"/>
      </w:pPr>
      <w:r>
        <w:rPr>
          <w:b/>
          <w:color w:val="7D1238"/>
          <w:sz w:val="56"/>
        </w:rPr>
        <w:t>2. What It Does</w:t>
      </w:r>
    </w:p>
    <w:p>
      <w:pPr>
        <w:spacing w:after="240"/>
      </w:pPr>
      <w:r>
        <w:rPr>
          <w:color w:val="505050"/>
          <w:sz w:val="24"/>
        </w:rPr>
        <w:t>Observable behaviours and student interactions</w:t>
      </w:r>
    </w:p>
    <w:p>
      <w:pPr>
        <w:pStyle w:val="ListBullet"/>
        <w:spacing w:after="100"/>
        <w:ind w:left="360" w:hanging="259"/>
      </w:pPr>
      <w:r>
        <w:rPr>
          <w:sz w:val="30"/>
        </w:rPr>
        <w:t>Accepts gaseous, liquid, solid and user-defined fuels using elemental composition, molecular weight, heating value, moisture, nitrogen and ash inputs.</w:t>
      </w:r>
    </w:p>
    <w:p>
      <w:pPr>
        <w:pStyle w:val="ListBullet"/>
        <w:spacing w:after="100"/>
        <w:ind w:left="360" w:hanging="259"/>
      </w:pPr>
      <w:r>
        <w:rPr>
          <w:sz w:val="30"/>
        </w:rPr>
        <w:t>Calculates stoichiometric air, excess-air ratio, equivalence ratio, heat release, wall/stack losses, boiler heat capture and fuel-supported steam capacity, with a live Energy Sankey view of the heat balance.</w:t>
      </w:r>
    </w:p>
    <w:p>
      <w:pPr>
        <w:pStyle w:val="ListBullet"/>
        <w:spacing w:after="100"/>
        <w:ind w:left="360" w:hanging="259"/>
      </w:pPr>
      <w:r>
        <w:rPr>
          <w:sz w:val="30"/>
        </w:rPr>
        <w:t>Displays virtual flue-gas indications for O2, CO2, CO, NOx, unburned hydrocarbons, stack temperature, water dew point and dew-point margin.</w:t>
      </w:r>
    </w:p>
    <w:p>
      <w:pPr>
        <w:pStyle w:val="ListBullet"/>
        <w:spacing w:after="100"/>
        <w:ind w:left="360" w:hanging="259"/>
      </w:pPr>
      <w:r>
        <w:rPr>
          <w:sz w:val="30"/>
        </w:rPr>
        <w:t>Simulates steam temperature, feedwater and steam flow, corrected drum mass inventory, separate transient shrink/swell indication, spray attemperation and single-, two- or three-element drum-level control.</w:t>
      </w:r>
    </w:p>
    <w:p>
      <w:pPr>
        <w:pStyle w:val="ListBullet"/>
        <w:spacing w:after="100"/>
        <w:ind w:left="360" w:hanging="259"/>
      </w:pPr>
      <w:r>
        <w:rPr>
          <w:sz w:val="30"/>
        </w:rPr>
        <w:t>Provides coordinated firing, demand and fuel-quality steps, trips and alarms, plus a dedicated Fault injection box for transmitter faults, air leakage, poor mixing, fouling, wet fuel, NOx excursions and firing-demand mismatch.</w:t>
      </w:r>
    </w:p>
    <w:p>
      <w:r>
        <w:br w:type="page"/>
      </w:r>
    </w:p>
    <w:p>
      <w:pPr>
        <w:spacing w:after="120"/>
        <w:jc w:val="left"/>
      </w:pPr>
      <w:r>
        <w:rPr>
          <w:b/>
          <w:color w:val="7D1238"/>
          <w:sz w:val="56"/>
        </w:rPr>
        <w:t>3. What It Does Not Do</w:t>
      </w:r>
    </w:p>
    <w:p>
      <w:pPr>
        <w:spacing w:after="240"/>
      </w:pPr>
      <w:r>
        <w:rPr>
          <w:color w:val="505050"/>
          <w:sz w:val="24"/>
        </w:rPr>
        <w:t>Important boundaries of interpretation</w:t>
      </w:r>
    </w:p>
    <w:p>
      <w:pPr>
        <w:pStyle w:val="ListBullet"/>
        <w:spacing w:after="100"/>
        <w:ind w:left="360" w:hanging="259"/>
      </w:pPr>
      <w:r>
        <w:rPr>
          <w:sz w:val="30"/>
        </w:rPr>
        <w:t>It does not perform computational fluid dynamics, burner aerodynamics, flame-shape prediction, furnace radiation-field solution or detailed tube-by-tube heat transfer.</w:t>
      </w:r>
    </w:p>
    <w:p>
      <w:pPr>
        <w:pStyle w:val="ListBullet"/>
        <w:spacing w:after="100"/>
        <w:ind w:left="360" w:hanging="259"/>
      </w:pPr>
      <w:r>
        <w:rPr>
          <w:sz w:val="30"/>
        </w:rPr>
        <w:t>It is not a complete or standards-conforming IAPWS-IF97 property package; the water/steam functions are simplified teaching approximations.</w:t>
      </w:r>
    </w:p>
    <w:p>
      <w:pPr>
        <w:pStyle w:val="ListBullet"/>
        <w:spacing w:after="100"/>
        <w:ind w:left="360" w:hanging="259"/>
      </w:pPr>
      <w:r>
        <w:rPr>
          <w:sz w:val="30"/>
        </w:rPr>
        <w:t>NOx and unburned-hydrocarbon outputs are trend models for learning, not regulatory emissions predictions or compliance calculations.</w:t>
      </w:r>
    </w:p>
    <w:p>
      <w:pPr>
        <w:pStyle w:val="ListBullet"/>
        <w:spacing w:after="100"/>
        <w:ind w:left="360" w:hanging="259"/>
      </w:pPr>
      <w:r>
        <w:rPr>
          <w:sz w:val="30"/>
        </w:rPr>
        <w:t>Fuel surrogates and user mixtures are idealised; detailed kinetics, pollutant chemistry, ash chemistry, slagging, corrosion and deposit growth are not resolved.</w:t>
      </w:r>
    </w:p>
    <w:p>
      <w:pPr>
        <w:pStyle w:val="ListBullet"/>
        <w:spacing w:after="100"/>
        <w:ind w:left="360" w:hanging="259"/>
      </w:pPr>
      <w:r>
        <w:rPr>
          <w:sz w:val="30"/>
        </w:rPr>
        <w:t>It is not suitable for boiler design, equipment sizing, safety analysis, licensing, performance guarantees or operator certification.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840"/>
            <w:shd w:fill="F3E8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b/>
                <w:color w:val="7D1238"/>
                <w:sz w:val="26"/>
              </w:rPr>
              <w:t xml:space="preserve">Interpretation rule: </w:t>
            </w:r>
            <w:r>
              <w:rPr>
                <w:sz w:val="26"/>
              </w:rPr>
              <w:t>Use the simulator to explain directions, interactions and control consequences—not to claim plant-specific numerical accuracy.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20"/>
        <w:jc w:val="left"/>
      </w:pPr>
      <w:r>
        <w:rPr>
          <w:b/>
          <w:color w:val="7D1238"/>
          <w:sz w:val="56"/>
        </w:rPr>
        <w:t>4. Physics Included</w:t>
      </w:r>
    </w:p>
    <w:p>
      <w:pPr>
        <w:spacing w:after="240"/>
      </w:pPr>
      <w:r>
        <w:rPr>
          <w:color w:val="505050"/>
          <w:sz w:val="24"/>
        </w:rPr>
        <w:t>The main physical relationships represented</w:t>
      </w:r>
    </w:p>
    <w:p>
      <w:pPr>
        <w:pStyle w:val="ListBullet"/>
        <w:spacing w:after="100"/>
        <w:ind w:left="360" w:hanging="259"/>
      </w:pPr>
      <w:r>
        <w:rPr>
          <w:sz w:val="30"/>
        </w:rPr>
        <w:t>Combustion stoichiometry from fuel C-H-O-S composition, including theoretical oxygen demand, actual air, lambda and phi.</w:t>
      </w:r>
    </w:p>
    <w:p>
      <w:pPr>
        <w:pStyle w:val="ListBullet"/>
        <w:spacing w:after="100"/>
        <w:ind w:left="360" w:hanging="259"/>
      </w:pPr>
      <w:r>
        <w:rPr>
          <w:sz w:val="30"/>
        </w:rPr>
        <w:t>Incomplete combustion through a carbon-to-CO fraction influenced by air deficiency, combustion completeness and burner mixing quality.</w:t>
      </w:r>
    </w:p>
    <w:p>
      <w:pPr>
        <w:pStyle w:val="ListBullet"/>
        <w:spacing w:after="100"/>
        <w:ind w:left="360" w:hanging="259"/>
      </w:pPr>
      <w:r>
        <w:rPr>
          <w:sz w:val="30"/>
        </w:rPr>
        <w:t>Boiler energy balance using lower heating value, combustion efficiency, wall loss, stack loss and effective heat capture; the same terms drive the live Energy Sankey diagram.</w:t>
      </w:r>
    </w:p>
    <w:p>
      <w:pPr>
        <w:pStyle w:val="ListBullet"/>
        <w:spacing w:after="100"/>
        <w:ind w:left="360" w:hanging="259"/>
      </w:pPr>
      <w:r>
        <w:rPr>
          <w:sz w:val="30"/>
        </w:rPr>
        <w:t>Steam-side enthalpy balance across economiser, evaporator and superheater duties, including spray-water mixing for outlet steam temperature.</w:t>
      </w:r>
    </w:p>
    <w:p>
      <w:pPr>
        <w:pStyle w:val="ListBullet"/>
        <w:spacing w:after="100"/>
        <w:ind w:left="360" w:hanging="259"/>
      </w:pPr>
      <w:r>
        <w:rPr>
          <w:sz w:val="30"/>
        </w:rPr>
        <w:t>Dynamic lags for major measured and process variables, PI control loops, anti-windup, actuator response and density compensation for differential-pressure flow measurement.</w:t>
      </w:r>
    </w:p>
    <w:p>
      <w:pPr>
        <w:pStyle w:val="ListBullet"/>
        <w:spacing w:after="100"/>
        <w:ind w:left="360" w:hanging="259"/>
      </w:pPr>
      <w:r>
        <w:rPr>
          <w:sz w:val="30"/>
        </w:rPr>
        <w:t>Corrected drum mass inventory plus a separate transient shrink/swell indication driven by changes in steam release, with a delayed low-fuel-for-feedwater warning when inventory is expected to rise.</w:t>
      </w:r>
    </w:p>
    <w:p>
      <w:pPr>
        <w:pStyle w:val="ListBullet"/>
        <w:spacing w:after="100"/>
        <w:ind w:left="360" w:hanging="259"/>
      </w:pPr>
      <w:r>
        <w:rPr>
          <w:sz w:val="30"/>
        </w:rPr>
        <w:t>Post-furnace air dilution, analyzer lag/noise, water-vapour dew point, fouling effects, alarms and master fuel trip logic.</w:t>
      </w:r>
    </w:p>
    <w:p>
      <w:r>
        <w:br w:type="page"/>
      </w:r>
    </w:p>
    <w:p>
      <w:pPr>
        <w:spacing w:after="120"/>
        <w:jc w:val="left"/>
      </w:pPr>
      <w:r>
        <w:rPr>
          <w:b/>
          <w:color w:val="7D1238"/>
          <w:sz w:val="56"/>
        </w:rPr>
        <w:t>5. Physics Simplified</w:t>
      </w:r>
    </w:p>
    <w:p>
      <w:pPr>
        <w:spacing w:after="240"/>
      </w:pPr>
      <w:r>
        <w:rPr>
          <w:color w:val="505050"/>
          <w:sz w:val="24"/>
        </w:rPr>
        <w:t>Where reduced-order approximations replace detailed models</w:t>
      </w:r>
    </w:p>
    <w:p>
      <w:pPr>
        <w:pStyle w:val="ListBullet"/>
        <w:spacing w:after="100"/>
        <w:ind w:left="360" w:hanging="259"/>
      </w:pPr>
      <w:r>
        <w:rPr>
          <w:sz w:val="30"/>
        </w:rPr>
        <w:t>The entire furnace and boiler are treated as lumped components; spatial distributions of temperature, heat flux, species and residence time are not solved.</w:t>
      </w:r>
    </w:p>
    <w:p>
      <w:pPr>
        <w:pStyle w:val="ListBullet"/>
        <w:spacing w:after="100"/>
        <w:ind w:left="360" w:hanging="259"/>
      </w:pPr>
      <w:r>
        <w:rPr>
          <w:sz w:val="30"/>
        </w:rPr>
        <w:t>Water/steam properties use compact correlations for saturation temperature, enthalpy and specific volume rather than full IF97 region equations.</w:t>
      </w:r>
    </w:p>
    <w:p>
      <w:pPr>
        <w:pStyle w:val="ListBullet"/>
        <w:spacing w:after="100"/>
        <w:ind w:left="360" w:hanging="259"/>
      </w:pPr>
      <w:r>
        <w:rPr>
          <w:sz w:val="30"/>
        </w:rPr>
        <w:t>Heat duty is divided into fixed economiser/evaporator/superheater fractions instead of being calculated from geometry and local heat-transfer coefficients.</w:t>
      </w:r>
    </w:p>
    <w:p>
      <w:pPr>
        <w:pStyle w:val="ListBullet"/>
        <w:spacing w:after="100"/>
        <w:ind w:left="360" w:hanging="259"/>
      </w:pPr>
      <w:r>
        <w:rPr>
          <w:sz w:val="30"/>
        </w:rPr>
        <w:t>Flame temperature is a bounded proxy, while thermal, fuel and prompt NOx are transparent empirical trend expressions.</w:t>
      </w:r>
    </w:p>
    <w:p>
      <w:pPr>
        <w:pStyle w:val="ListBullet"/>
        <w:spacing w:after="100"/>
        <w:ind w:left="360" w:hanging="259"/>
      </w:pPr>
      <w:r>
        <w:rPr>
          <w:sz w:val="30"/>
        </w:rPr>
        <w:t>CO and UHC formation use heuristic breakthrough and mixing relationships, not chemical-kinetic mechanisms.</w:t>
      </w:r>
    </w:p>
    <w:p>
      <w:pPr>
        <w:pStyle w:val="ListBullet"/>
        <w:spacing w:after="100"/>
        <w:ind w:left="360" w:hanging="259"/>
      </w:pPr>
      <w:r>
        <w:rPr>
          <w:sz w:val="30"/>
        </w:rPr>
        <w:t>Time constants and controller gains are selected for visible teaching transients, not identified from a particular operating boiler.</w:t>
      </w:r>
    </w:p>
    <w:p>
      <w:r>
        <w:br w:type="page"/>
      </w:r>
    </w:p>
    <w:p>
      <w:pPr>
        <w:spacing w:after="120"/>
        <w:jc w:val="left"/>
      </w:pPr>
      <w:r>
        <w:rPr>
          <w:b/>
          <w:color w:val="7D1238"/>
          <w:sz w:val="56"/>
        </w:rPr>
        <w:t>6. Pedagogical Decisions Taken</w:t>
      </w:r>
    </w:p>
    <w:p>
      <w:pPr>
        <w:spacing w:after="240"/>
      </w:pPr>
      <w:r>
        <w:rPr>
          <w:color w:val="505050"/>
          <w:sz w:val="24"/>
        </w:rPr>
        <w:t>Design choices made to improve teaching clarity</w:t>
      </w:r>
    </w:p>
    <w:p>
      <w:pPr>
        <w:pStyle w:val="ListBullet"/>
        <w:spacing w:after="100"/>
        <w:ind w:left="360" w:hanging="259"/>
      </w:pPr>
      <w:r>
        <w:rPr>
          <w:sz w:val="30"/>
        </w:rPr>
        <w:t>Fast, visible transients: the model uses a 0.25 s simulation step and deliberately short lags so students can see cause and effect within a class session.</w:t>
      </w:r>
    </w:p>
    <w:p>
      <w:pPr>
        <w:pStyle w:val="ListBullet"/>
        <w:spacing w:after="100"/>
        <w:ind w:left="360" w:hanging="259"/>
      </w:pPr>
      <w:r>
        <w:rPr>
          <w:sz w:val="30"/>
        </w:rPr>
        <w:t>Trend-first design: rolling plots use simulated time before present on the x-axis; alarm tiles, emissions plots, a flue-gas map and the Energy Sankey make relationships visible.</w:t>
      </w:r>
    </w:p>
    <w:p>
      <w:pPr>
        <w:pStyle w:val="ListBullet"/>
        <w:spacing w:after="100"/>
        <w:ind w:left="360" w:hanging="259"/>
      </w:pPr>
      <w:r>
        <w:rPr>
          <w:sz w:val="30"/>
        </w:rPr>
        <w:t>O2 is not treated as sufficient by itself: poor-mixing and post-furnace-leak cases show why CO, CO2 and operating context must be interpreted together.</w:t>
      </w:r>
    </w:p>
    <w:p>
      <w:pPr>
        <w:pStyle w:val="ListBullet"/>
        <w:spacing w:after="100"/>
        <w:ind w:left="360" w:hanging="259"/>
      </w:pPr>
      <w:r>
        <w:rPr>
          <w:sz w:val="30"/>
        </w:rPr>
        <w:t>Controls are layered progressively: single-, two- and three-element drum-level strategies can be selected or automatically degraded when transmitters become unreliable.</w:t>
      </w:r>
    </w:p>
    <w:p>
      <w:pPr>
        <w:pStyle w:val="ListBullet"/>
        <w:spacing w:after="100"/>
        <w:ind w:left="360" w:hanging="259"/>
      </w:pPr>
      <w:r>
        <w:rPr>
          <w:sz w:val="30"/>
        </w:rPr>
        <w:t>Fault cases are grouped in a dedicated dashboard box and map only to represented behaviours, helping prevent conclusions from unsupported physics.</w:t>
      </w:r>
    </w:p>
    <w:p>
      <w:pPr>
        <w:pStyle w:val="ListBullet"/>
        <w:spacing w:after="100"/>
        <w:ind w:left="360" w:hanging="259"/>
      </w:pPr>
      <w:r>
        <w:rPr>
          <w:sz w:val="30"/>
        </w:rPr>
        <w:t>A guided demo restores predictable initial conditions and sequences stable operation, demand response and representative combustion/heat-transfer faults; coordinated firing normally follows steam demand unless a training case disables it.</w:t>
      </w:r>
    </w:p>
    <w:p>
      <w:pPr>
        <w:pStyle w:val="ListBullet"/>
        <w:spacing w:after="100"/>
        <w:ind w:left="360" w:hanging="259"/>
      </w:pPr>
      <w:r>
        <w:rPr>
          <w:sz w:val="30"/>
        </w:rPr>
        <w:t>Simplified equations are intentionally transparent so instructors can discuss assumptions, limitations and competing operational objectives.</w:t>
      </w:r>
    </w:p>
    <w:p>
      <w:r>
        <w:br w:type="page"/>
      </w:r>
    </w:p>
    <w:p>
      <w:pPr>
        <w:spacing w:after="120"/>
        <w:jc w:val="left"/>
      </w:pPr>
      <w:r>
        <w:rPr>
          <w:b/>
          <w:color w:val="7D1238"/>
          <w:sz w:val="56"/>
        </w:rPr>
        <w:t>Teaching Takeaway</w:t>
      </w:r>
    </w:p>
    <w:p>
      <w:pPr>
        <w:spacing w:after="240"/>
      </w:pPr>
      <w:r>
        <w:rPr>
          <w:color w:val="505050"/>
          <w:sz w:val="24"/>
        </w:rPr>
        <w:t>How the simulator should be framed in class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840"/>
            <w:shd w:fill="E8F3EA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b/>
                <w:color w:val="7D1238"/>
                <w:sz w:val="26"/>
              </w:rPr>
              <w:t xml:space="preserve">Best use: </w:t>
            </w:r>
            <w:r>
              <w:rPr>
                <w:sz w:val="26"/>
              </w:rPr>
              <w:t>Ask students to predict the direction of change, run a disturbance, compare the trends, diagnose the cause, and justify an operator response.</w:t>
            </w:r>
          </w:p>
        </w:tc>
      </w:tr>
    </w:tbl>
    <w:p>
      <w:pPr>
        <w:spacing w:after="0"/>
      </w:pPr>
    </w:p>
    <w:p>
      <w:pPr>
        <w:pStyle w:val="ListBullet"/>
        <w:spacing w:after="100"/>
        <w:ind w:left="360" w:hanging="259"/>
      </w:pPr>
      <w:r>
        <w:rPr>
          <w:sz w:val="30"/>
        </w:rPr>
        <w:t>The strongest learning outcomes are systems thinking, transient interpretation, combustion diagnosis, control-mode comparison and recognition of misleading measurements.</w:t>
      </w:r>
    </w:p>
    <w:p>
      <w:pPr>
        <w:pStyle w:val="ListBullet"/>
        <w:spacing w:after="100"/>
        <w:ind w:left="360" w:hanging="259"/>
      </w:pPr>
      <w:r>
        <w:rPr>
          <w:sz w:val="30"/>
        </w:rPr>
        <w:t>Numerical outputs should be discussed as internally consistent teaching estimates, not as validated performance data for a real boiler.</w:t>
      </w:r>
    </w:p>
    <w:p>
      <w:pPr>
        <w:pStyle w:val="ListBullet"/>
        <w:spacing w:after="100"/>
        <w:ind w:left="360" w:hanging="259"/>
      </w:pPr>
      <w:r>
        <w:rPr>
          <w:sz w:val="30"/>
        </w:rPr>
        <w:t>Suggested discussion prompt: “Which measurement changed first, which controller responded, and which apparent symptom could lead to a wrong diagnosis?”</w:t>
      </w:r>
    </w:p>
    <w:p>
      <w:pPr>
        <w:spacing w:before="360"/>
      </w:pPr>
      <w:r>
        <w:rPr>
          <w:i/>
          <w:color w:val="5F5F5F"/>
          <w:sz w:val="20"/>
        </w:rPr>
        <w:t>Basis: Live Boiler/Furnace Transient Simulator v1.2.0 source code, reviewed August 2026.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THERMAL ENGINEERING TEACHING SUITE  |  BOILER/FURNACE SIMULATOR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Boiler/Furnace Transient Simulator - Short Teaching Presentation</dc:title>
  <dc:subject>Teaching scope, physics and pedagogical design</dc:subject>
  <dc:creator>Mohsin Mohd Sies</dc:creator>
  <cp:keywords>boiler, furnace, simulator, teaching, combustion, controls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