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  <w:keepLines/>
      </w:pPr>
      <w:r/>
    </w:p>
    <w:p>
      <w:pPr>
        <w:spacing w:before="440" w:after="160"/>
        <w:jc w:val="center"/>
        <w:keepLines/>
      </w:pPr>
      <w:r>
        <w:rPr>
          <w:rFonts w:ascii="Arial" w:hAnsi="Arial" w:eastAsia="Arial"/>
          <w:b/>
          <w:color w:val="7D1238"/>
          <w:sz w:val="46"/>
        </w:rPr>
        <w:t>THERMAL-HYDRAULICS AND LOCA SIMULATOR</w:t>
      </w:r>
    </w:p>
    <w:p>
      <w:pPr>
        <w:spacing w:after="360"/>
        <w:jc w:val="center"/>
        <w:keepLines/>
      </w:pPr>
      <w:r>
        <w:rPr>
          <w:rFonts w:ascii="Arial" w:hAnsi="Arial" w:eastAsia="Arial"/>
          <w:b/>
          <w:color w:val="202226"/>
          <w:sz w:val="34"/>
        </w:rPr>
        <w:t>Possible Student Exercises</w:t>
      </w:r>
    </w:p>
    <w:p>
      <w:pPr>
        <w:spacing w:after="120"/>
        <w:jc w:val="center"/>
        <w:keepLines/>
      </w:pPr>
      <w:r>
        <w:rPr>
          <w:rFonts w:ascii="Arial" w:hAnsi="Arial" w:eastAsia="Arial"/>
          <w:b/>
          <w:color w:val="4A4F56"/>
          <w:sz w:val="24"/>
        </w:rPr>
        <w:t>Open Nuclear Engineering Teaching Suite</w:t>
      </w:r>
    </w:p>
    <w:p>
      <w:pPr>
        <w:spacing w:after="680"/>
        <w:jc w:val="center"/>
        <w:keepLines/>
      </w:pPr>
      <w:r>
        <w:rPr>
          <w:rFonts w:ascii="Arial" w:hAnsi="Arial" w:eastAsia="Arial"/>
          <w:i/>
          <w:color w:val="4A4F56"/>
          <w:sz w:val="20"/>
        </w:rPr>
        <w:t>Undergraduate teaching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878"/>
            <w:shd w:fill="F8F1F4"/>
            <w:tcBorders>
              <w:top w:val="single" w:sz="10" w:color="7D1238"/>
              <w:left w:val="single" w:sz="10" w:color="7D1238"/>
              <w:bottom w:val="single" w:sz="10" w:color="7D1238"/>
              <w:right w:val="single" w:sz="10" w:color="7D1238"/>
            </w:tcBorders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Arial" w:hAnsi="Arial" w:eastAsia="Arial"/>
                <w:color w:val="202226"/>
                <w:sz w:val="19"/>
              </w:rPr>
              <w:t>A structured set of 38 activities covering normal operation, heat transfer, reactor trip and decay heat, LOFA, LOHS, SBLOCA, LBLOCA, station blackout, residual heat removal, data analysis and operator decision-making.</w:t>
            </w:r>
          </w:p>
        </w:tc>
      </w:tr>
    </w:tbl>
    <w:p>
      <w:pPr>
        <w:spacing w:before="520"/>
        <w:jc w:val="center"/>
        <w:keepLines/>
      </w:pPr>
      <w:r>
        <w:rPr>
          <w:rFonts w:ascii="Arial" w:hAnsi="Arial" w:eastAsia="Arial"/>
          <w:color w:val="4A4F56"/>
          <w:sz w:val="18"/>
        </w:rPr>
        <w:t>Prepared for classroom, laboratory and guided self-study use</w:t>
      </w:r>
    </w:p>
    <w:p>
      <w:pPr>
        <w:keepLines/>
      </w:pPr>
      <w:r>
        <w:br w:type="page"/>
      </w:r>
    </w:p>
    <w:p>
      <w:pPr>
        <w:pStyle w:val="Heading1"/>
        <w:keepLines/>
      </w:pPr>
      <w:r>
        <w:rPr>
          <w:rFonts w:ascii="Arial" w:hAnsi="Arial" w:eastAsia="Arial"/>
          <w:b/>
          <w:color w:val="7D1238"/>
          <w:sz w:val="30"/>
        </w:rPr>
        <w:t>Purpose and scope</w:t>
      </w:r>
    </w:p>
    <w:p>
      <w:pPr>
        <w:spacing w:after="120"/>
        <w:keepLines/>
      </w:pPr>
      <w:r>
        <w:rPr>
          <w:rFonts w:ascii="Arial" w:hAnsi="Arial" w:eastAsia="Arial"/>
          <w:sz w:val="19"/>
        </w:rPr>
        <w:t>The Thermal-Hydraulics and LOCA Simulator supports undergraduate exercises by coupling reactor power and decay heat with fuel, cladding and coolant temperatures; primary flow, pressure and inventory; steam-generator heat removal; emergency core cooling; auxiliary feedwater; pressure-control systems; and residual heat removal.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4939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939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Teaching use</w:t>
            </w:r>
          </w:p>
        </w:tc>
      </w:tr>
      <w:tr>
        <w:tc>
          <w:tcPr>
            <w:tcW w:type="dxa" w:w="31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02226"/>
                <w:sz w:val="17"/>
              </w:rPr>
              <w:t>Scenario presets</w:t>
            </w:r>
          </w:p>
        </w:tc>
        <w:tc>
          <w:tcPr>
            <w:tcW w:type="dxa" w:w="6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202226"/>
                <w:sz w:val="17"/>
              </w:rPr>
              <w:t>Normal operation, SBLOCA, LBLOCA, loss of flow, loss of heat sink and station blackout.</w:t>
            </w:r>
          </w:p>
        </w:tc>
      </w:tr>
      <w:tr>
        <w:tc>
          <w:tcPr>
            <w:tcW w:type="dxa" w:w="3168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02226"/>
                <w:sz w:val="17"/>
              </w:rPr>
              <w:t>Protection and safety systems</w:t>
            </w:r>
          </w:p>
        </w:tc>
        <w:tc>
          <w:tcPr>
            <w:tcW w:type="dxa" w:w="6624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202226"/>
                <w:sz w:val="17"/>
              </w:rPr>
              <w:t>Automatic or manual reactor trip, automatic or manual ECCS, auxiliary feedwater, PORV, spray and RHR.</w:t>
            </w:r>
          </w:p>
        </w:tc>
      </w:tr>
      <w:tr>
        <w:tc>
          <w:tcPr>
            <w:tcW w:type="dxa" w:w="31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02226"/>
                <w:sz w:val="17"/>
              </w:rPr>
              <w:t>Dynamic displays</w:t>
            </w:r>
          </w:p>
        </w:tc>
        <w:tc>
          <w:tcPr>
            <w:tcW w:type="dxa" w:w="6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202226"/>
                <w:sz w:val="17"/>
              </w:rPr>
              <w:t>Power, decay heat, fuel/cladding/coolant temperature, pressure and coolant inventory.</w:t>
            </w:r>
          </w:p>
        </w:tc>
      </w:tr>
      <w:tr>
        <w:tc>
          <w:tcPr>
            <w:tcW w:type="dxa" w:w="3168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02226"/>
                <w:sz w:val="17"/>
              </w:rPr>
              <w:t>Manual controls</w:t>
            </w:r>
          </w:p>
        </w:tc>
        <w:tc>
          <w:tcPr>
            <w:tcW w:type="dxa" w:w="6624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202226"/>
                <w:sz w:val="17"/>
              </w:rPr>
              <w:t>Rod insertion, reactivity trim, boron, pump flow, SG heat removal, break size and safety-system actuation.</w:t>
            </w:r>
          </w:p>
        </w:tc>
      </w:tr>
      <w:tr>
        <w:tc>
          <w:tcPr>
            <w:tcW w:type="dxa" w:w="31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02226"/>
                <w:sz w:val="17"/>
              </w:rPr>
              <w:t>Data logging</w:t>
            </w:r>
          </w:p>
        </w:tc>
        <w:tc>
          <w:tcPr>
            <w:tcW w:type="dxa" w:w="6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202226"/>
                <w:sz w:val="17"/>
              </w:rPr>
              <w:t>CSV output for calculation, plotting, chronology reconstruction and laboratory reporting.</w:t>
            </w:r>
          </w:p>
        </w:tc>
      </w:tr>
    </w:tbl>
    <w:p>
      <w:pPr>
        <w:spacing w:before="180" w:after="100"/>
        <w:keepLines/>
      </w:pPr>
      <w:r>
        <w:rPr>
          <w:rFonts w:ascii="Arial" w:hAnsi="Arial" w:eastAsia="Arial"/>
          <w:b/>
          <w:color w:val="7D1238"/>
          <w:sz w:val="20"/>
        </w:rPr>
        <w:t>Important limitation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E5"/>
            <w:tcBorders>
              <w:top w:val="single" w:sz="8" w:color="A85F00"/>
              <w:left w:val="single" w:sz="8" w:color="A85F00"/>
              <w:bottom w:val="single" w:sz="8" w:color="A85F00"/>
              <w:right w:val="single" w:sz="8" w:color="A85F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80" w:after="80"/>
            </w:pPr>
            <w:r>
              <w:rPr>
                <w:rFonts w:ascii="Arial" w:hAnsi="Arial" w:eastAsia="Arial"/>
                <w:b/>
                <w:color w:val="202226"/>
                <w:sz w:val="18"/>
              </w:rPr>
              <w:t>This is a simplified lumped-parameter classroom model. It is intended to teach qualitative system behaviour and cause-and-effect relationships. It must not be used for design, licensing, safety analysis, plant procedures or operator qualification.</w:t>
            </w:r>
          </w:p>
        </w:tc>
      </w:tr>
    </w:tbl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A. Basic thermal-hydraulics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1. Establishing the normal operating condition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Recognize the normal steady-state relationships between heat generation, heat transfer and heat removal.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the simulator at nominal settings and allow the displayed quantities to stabilize.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Reactor power, decay heat, fuel temperature, cladding temperature, coolant temperature, primary pressure, coolant inventory and primary flow.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2. Effect of reactor power on temperatures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Relate reactor power to the thermal gradients across the fuel, cladding and coolant nodes.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control rods or fine-reactivity trim to change power while keeping primary flow and steam-generator heat removal constant.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Plot fuel, cladding and coolant temperature against reactor power.</w:t>
      </w:r>
    </w:p>
    <w:p>
      <w:pPr>
        <w:spacing w:after="20"/>
        <w:keepLines/>
      </w:pPr>
      <w:r>
        <w:rPr>
          <w:rFonts w:ascii="Arial" w:hAnsi="Arial" w:eastAsia="Arial"/>
          <w:b/>
          <w:color w:val="7D1238"/>
          <w:sz w:val="19"/>
        </w:rPr>
        <w:t>Questions for discussion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Which temperature responds first?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Which temperature shows the largest change?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does fuel temperature remain above cladding temperature?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does cladding temperature remain above coolant temperature?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3. Effect of primary coolant flow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Relate coolant flow to convective heat-transfer effectiveness.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Reduce reactor coolant pump flow in stages: 100%, 80%, 60%, 40% and 20%. Keep other controls as constant as practical.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Fuel, cladding and coolant temperatures at each flow setting.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A85F00"/>
          <w:sz w:val="19"/>
        </w:rPr>
        <w:t xml:space="preserve">Expected observation: </w:t>
      </w:r>
      <w:r>
        <w:rPr>
          <w:rFonts w:ascii="Arial" w:hAnsi="Arial" w:eastAsia="Arial"/>
          <w:color w:val="111111"/>
          <w:sz w:val="19"/>
        </w:rPr>
        <w:t>Lower flow generally produces poorer heat removal and higher fuel and cladding temperatures.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4. Natural-circulation cooling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Explain how heat can continue to be transported after loss of forced circulation.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SCRAM the reactor, reduce primary pump flow to zero and retain steam-generator heat removal.</w:t>
      </w:r>
    </w:p>
    <w:p>
      <w:pPr>
        <w:spacing w:after="20"/>
        <w:keepLines/>
      </w:pPr>
      <w:r>
        <w:rPr>
          <w:rFonts w:ascii="Arial" w:hAnsi="Arial" w:eastAsia="Arial"/>
          <w:b/>
          <w:color w:val="7D1238"/>
          <w:sz w:val="19"/>
        </w:rPr>
        <w:t>Questions for discussion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Does the indicated flow fall completely to zero?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can heat still be transferred without forced circulation?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Is natural circulation sufficient for full-power operation or mainly for shutdown cooling?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5. Effect of steam-generator heat removal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Connect secondary-side heat removal with primary-system temperature and pressure.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Hold reactor power and primary flow approximately constant while setting SG heat removal to 100%, 75%, 50%, 25% and 0%.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Coolant temperature, primary pressure, fuel temperature and cladding temperature.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B. Reactor trip and decay-heat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6. SCRAM and decay-heat response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Distinguish the rapid reduction of fission power from the slower removal of residual decay heat.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at full power, press SCRAM and observe the transient.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Fission power, decay heat, fuel temperature, cladding temperature and coolant temperature.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Key lesson: </w:t>
      </w:r>
      <w:r>
        <w:rPr>
          <w:rFonts w:ascii="Arial" w:hAnsi="Arial" w:eastAsia="Arial"/>
          <w:color w:val="111111"/>
          <w:sz w:val="19"/>
        </w:rPr>
        <w:t>Reactor shutdown does not mean that heat generation immediately becomes zero.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7. Cooling after SCRAM with and without heat removal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Demonstrate that shutdown alone is insufficient; decay heat must continue to be removed.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Compare two cases: (1) SCRAM with SG heat removal maintained, and (2) SCRAM followed by loss of SG heat removal.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Peak coolant pressure, peak coolant temperature and peak cladding temperature.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8. Delayed operator response after trip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Evaluate the effect of operator response time on the severity of a post-trip heat-removal transient.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After SCRAM and loss of heat removal, delay auxiliary feedwater initiation by 10 s, 30 s and 60 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Peak coolant temperature, peak pressure, peak cladding temperature and time required for recovery.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C. Loss-of-flow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9. Complete loss-of-flow accident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Trace the thermal response following loss of forced primary circulation.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LOFA preset and observe pump-flow reduction, reactor trip, temperature response, natural circulation and SG heat removal.</w:t>
      </w:r>
    </w:p>
    <w:p>
      <w:pPr>
        <w:spacing w:after="20"/>
        <w:keepLines/>
      </w:pPr>
      <w:r>
        <w:rPr>
          <w:rFonts w:ascii="Arial" w:hAnsi="Arial" w:eastAsia="Arial"/>
          <w:b/>
          <w:color w:val="7D1238"/>
          <w:sz w:val="19"/>
        </w:rPr>
        <w:t>Questions for discussion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can cladding temperature rise even after the reactor trips?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Which is more important immediately after LOFA: reducing power or restoring cooling?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How does coolant inventory influence the outcome?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10. Partial loss of flow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Determine how progressively reduced coolant flow affects protection-system action and peak temperature.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Manually reduce pump flow to 75%, 50%, 25% and 0%. Note whether and when the automatic trip occurs.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Minimum coolant flow and corresponding peak cladding temperature.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Plot: peak cladding temperature versus minimum coolant flow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11. Failure of automatic reactor trip during flow reduction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Understand the protective role of low-flow and high-temperature trip signals.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Disable automatic reactor trip, reduce coolant flow and manually SCRAM before exceeding the assigned classroom temperature limit.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Instructor note: </w:t>
      </w:r>
      <w:r>
        <w:rPr>
          <w:rFonts w:ascii="Arial" w:hAnsi="Arial" w:eastAsia="Arial"/>
          <w:color w:val="111111"/>
          <w:sz w:val="19"/>
        </w:rPr>
        <w:t>This is a diagnosis-and-response activity, not a realistic safety calculation.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D. Loss-of-heat-sink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12. Loss of main heat sink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Follow the sequence from loss of secondary heat removal to primary-system heat-up and pressurization.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LOHS preset. Observe reactor trip, coolant temperature, pressure, auxiliary feedwater response, spray and PORV action.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13. Auxiliary feedwater recovery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Evaluate how auxiliary feedwater capacity influences recovery from loss of the main heat sink.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Initiate LOHS and repeat the case with AFW at 0%, 25%, 50%, 75% and 100%.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Maximum primary pressure, maximum coolant temperature, maximum cladding temperature and time to stabilize.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Key lesson: </w:t>
      </w:r>
      <w:r>
        <w:rPr>
          <w:rFonts w:ascii="Arial" w:hAnsi="Arial" w:eastAsia="Arial"/>
          <w:color w:val="111111"/>
          <w:sz w:val="19"/>
        </w:rPr>
        <w:t>Determine the minimum AFW setting that produces recovery in the teaching model.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14. Pressure-control comparison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Distinguish pressure control from decay-heat removal.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Following LOHS, compare spray only, PORV only, spray plus PORV, AFW without pressure control, and AFW with pressure control.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Key lesson: </w:t>
      </w:r>
      <w:r>
        <w:rPr>
          <w:rFonts w:ascii="Arial" w:hAnsi="Arial" w:eastAsia="Arial"/>
          <w:color w:val="111111"/>
          <w:sz w:val="19"/>
        </w:rPr>
        <w:t>Pressure-control systems may reduce pressure, but they do not replace the need for decay-heat removal.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E. Small-break LOCA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15. Standard SBLOCA sequence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Identify the main stages of a small-break loss-of-coolant accident and its recovery.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SBLOCA preset or the built-in SBLOCA recovery demonstration.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Identify the break opening, inventory reduction, depressurization, trip, persistence of decay heat, ECCS response, inventory recovery and transition to long-term cooling.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16. Effect of break size during SBLOCA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Relate break size to depressurization, coolant loss and peak cladding temperature.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cases at break settings of 5%, 10%, 15%, 20% and 30%.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Depressurization rate, inventory-loss rate, ECCS initiation time, minimum inventory and peak cladding temperature.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Plot: maximum cladding temperature versus break size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17. Automatic versus manual ECCS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Compare automatic protection with operator-initiated emergency injection.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the same SBLOCA twice: first with Auto ECCS enabled, then with Auto ECCS disabled and manual injection.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ECCS start time, minimum inventory, peak cladding temperature and stabilization time.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18. ECCS injection timing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Understand that ECCS effectiveness depends on system pressure and initiation timing.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For one SBLOCA, manually initiate ECCS immediately, below 12 MPa, at 80% inventory and after the high-cladding-temperature alarm.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Compare injection effectiveness, minimum inventory and peak cladding temperature.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19. Controlled depressurization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Evaluate the trade-off between reducing pressure to improve ECCS delivery and losing additional inventory through relief paths.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During SBLOCA recovery, compare no PORV action, moderate PORV opening and excessive PORV opening.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Pressure history, ECCS effectiveness, PORV inventory loss and peak cladding temperature.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20. Core uncovery and cladding-temperature response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Explain why heat transfer degrades as primary inventory falls and the core becomes less effectively covered.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Allow inventory to fall below approximately 75% and observe the cladding-temperature response.</w:t>
      </w:r>
    </w:p>
    <w:p>
      <w:pPr>
        <w:spacing w:after="20"/>
        <w:keepLines/>
      </w:pPr>
      <w:r>
        <w:rPr>
          <w:rFonts w:ascii="Arial" w:hAnsi="Arial" w:eastAsia="Arial"/>
          <w:b/>
          <w:color w:val="7D1238"/>
          <w:sz w:val="19"/>
        </w:rPr>
        <w:t>Questions for discussion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does cladding temperature increase rapidly as inventory decreases?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does reduced core coverage weaken heat transfer?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is restoring inventory central to LOCA mitigation?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F. Large-break LOCA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21. Standard LBLOCA response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Trace rapid depressurization, coolant loss, emergency injection and reflood following a large break.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LBLOCA preset or the LBLOCA ECCS response demonstration.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Pressure, inventory, pump flow, ECCS response, cladding temperature and long-term cooling status.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22. SBLOCA versus LBLOCA comparison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Compare the distinct timing and system challenges created by small and large breaks.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both presets under comparable initial conditions and complete the comparison table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SBLOCA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LBLOCA</w:t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Depressurization rate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Lower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Higher</w:t>
            </w:r>
          </w:p>
        </w:tc>
      </w:tr>
      <w:tr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Inventory-loss rate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Lower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Higher</w:t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Time available for action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Longer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Shorter</w:t>
            </w:r>
          </w:p>
        </w:tc>
      </w:tr>
      <w:tr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High-pressure period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Longer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Shorter</w:t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Low-pressure ECCS availability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Later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Earlier</w:t>
            </w:r>
          </w:p>
        </w:tc>
      </w:tr>
      <w:tr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Reflood demand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Moderate</w:t>
            </w:r>
          </w:p>
        </w:tc>
        <w:tc>
          <w:tcPr>
            <w:tcW w:type="dxa" w:w="3293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 w:val="0"/>
                <w:sz w:val="17"/>
              </w:rPr>
              <w:t>Strong</w:t>
            </w:r>
          </w:p>
        </w:tc>
      </w:tr>
    </w:tbl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Discussion: </w:t>
      </w:r>
      <w:r>
        <w:rPr>
          <w:rFonts w:ascii="Arial" w:hAnsi="Arial" w:eastAsia="Arial"/>
          <w:color w:val="111111"/>
          <w:sz w:val="19"/>
        </w:rPr>
        <w:t>Explain why the largest break does not necessarily produce the highest pressure, but generally causes the fastest inventory challenge.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23. ECCS capacity during LBLOCA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Determine how emergency injection capacity affects reflood and coolant-inventory recovery.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Repeat an LBLOCA with ECCS set to 25%, 50%, 75% and 100%.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Classify each case as continuing inventory loss, stable low inventory, gradual reflood or full recovery.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24. Break isolation study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Evaluate the benefit of reducing or isolating the break during the recovery phase.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an LBLOCA and reduce the break size at 30 s, 60 s and 120 s; compare with a case in which it is not isolated.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Minimum inventory, peak cladding temperature and time to stable cooling.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G. Station-blackout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25. Standard station blackout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Recognize the combined consequences of reactor trip, loss of forced circulation and restricted active safety-system availability.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SBO preset and observe trip, primary flow, heat removal, ECCS availability, pressure and temperature evolution.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26. SBO coping time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Introduce the concept of coping time before active cooling is restored.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Run an SBO and restore cooling after 30 s, 60 s, 120 s and 180 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Maximum cladding temperature, maximum pressure and minimum coolant inventory before recovery.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27. Recovery from SBO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Identify the staged progression from blackout conditions to stable shutdown cooling.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Use the built-in Station blackout recovery demonstration.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Identify reactor trip, loss of pumps and injection, limited coping cooling, restoration of power, ECCS recovery, controlled depressurization and RHR initiation.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28. Comparison of SBO and loss of heat sink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Explain why station blackout can be more challenging than loss of the main heat sink alone.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Compare SBO and LOHS cases under similar initial conditions.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Available flow, active injection, heat removal, pressure response, temperature response and recovery options.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H. Residual heat-removal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29. RHR pressure permissive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Demonstrate that residual heat-removal systems become useful only after suitable pressure reduction.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After reactor trip, attempt to use RHR at high pressure. Depressurize the primary system and observe when RHR begins to remove significant heat.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Pressure at which RHR response becomes visible and the subsequent coolant-temperature trend.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30. Transition to long-term cooling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Develop a justified sequence for moving from an accident transient to stable shutdown cooling.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Create and execute a sequence that includes reactor trip, inventory protection, secondary heat removal, controlled depressurization, RHR initiation and eventual reduction of ECCS.</w:t>
      </w:r>
    </w:p>
    <w:p>
      <w:pPr>
        <w:spacing w:after="20"/>
        <w:keepLines/>
      </w:pPr>
      <w:r>
        <w:rPr>
          <w:rFonts w:ascii="Arial" w:hAnsi="Arial" w:eastAsia="Arial"/>
          <w:b/>
          <w:color w:val="7D1238"/>
          <w:sz w:val="19"/>
        </w:rPr>
        <w:t>Questions for discussion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Why is each action required?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Which actions must occur before RHR can contribute?</w:t>
      </w:r>
    </w:p>
    <w:p>
      <w:pPr>
        <w:pStyle w:val="ListBullet"/>
        <w:spacing w:after="3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What indicators show that stable long-term cooling has been achieved?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I. Instrumentation and data-analysis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31. Instrument noise and signal interpretation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Distinguish real transient behaviour from measurement fluctuation.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Increase the instrument-noise setting and compare the instantaneous indicated power with the general power trend and thermal response.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32. Strip-chart interpretation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Develop the ability to reconstruct a transient from recorded trends.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Provide students with an unlabeled transient record.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Identify the initiating event, trip time, ECCS start, minimum inventory, peak cladding temperature, recovery point and transition to RHR.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33. CSV transient analysis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Use exported simulator data for quantitative post-run analysis.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Log a complete transient and analyse the CSV file in Excel, Python, MATLAB or Octave.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Time, scenario, power, decay heat, temperatures, pressure, inventory, reactivity, flow, trip status and operator-control histories.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Inventory-loss rate = ΔM / Δt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Depressurization rate = ΔP / Δt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Peak cladding temperature = max[Tclad(t)]</w:t>
      </w:r>
    </w:p>
    <w:p>
      <w:pPr>
        <w:spacing w:before="40" w:after="80"/>
        <w:jc w:val="center"/>
        <w:keepLines/>
      </w:pPr>
      <w:r>
        <w:rPr>
          <w:rFonts w:ascii="Cambria Math" w:hAnsi="Cambria Math" w:eastAsia="Cambria Math"/>
          <w:i/>
          <w:color w:val="202226"/>
          <w:sz w:val="21"/>
        </w:rPr>
        <w:t>ECCS response time = tECCS on - tfault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34. Alarm and trip chronology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Build a defensible event chronology using the strip chart and CSV record.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For one transient, complete an event table containing the time and evidence for each major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Trigger or observation</w:t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Fault initiated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Reactor trip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Pressure below ECCS threshold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ECCS active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Minimum inventory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Peak cladding temperature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RHR effective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  <w:tr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b/>
                <w:sz w:val="17"/>
              </w:rPr>
              <w:t>Stable cooling</w:t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  <w:tc>
          <w:tcPr>
            <w:tcW w:type="dxa" w:w="329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rFonts w:ascii="Arial" w:hAnsi="Arial" w:eastAsia="Arial"/>
                <w:sz w:val="17"/>
              </w:rPr>
            </w:r>
          </w:p>
        </w:tc>
      </w:tr>
    </w:tbl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J. Open-ended operator exercises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35. Stabilize the plant challenge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Integrate diagnosis, prioritization and control actions during an unknown transient.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The instructor introduces an unknown event by changing one or more controls. Students must diagnose the event, trip if necessary, protect inventory, maintain heat removal, control pressure and establish long-term cooling.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Correct diagnosis, response time, peak cladding temperature, minimum inventory, PORV use and successful entry into RHR.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36. Minimum-action recovery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Develop efficient recovery strategies without unnecessary control actions.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Recover from an SBLOCA or LOHS using the smallest practical number of operator actions, then justify every action taken.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37. Competing-objectives exercise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Recognize that operator actions may create both benefits and penalties.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Recover from an SBLOCA while maintaining cladding temperature below an assigned value, inventory above an assigned value, pressure below the RHR-entry condition, limited PORV use and a stable final temperature trend.</w:t>
      </w:r>
    </w:p>
    <w:p>
      <w:pPr>
        <w:pStyle w:val="Heading2"/>
        <w:keepNext/>
        <w:spacing w:before="160" w:after="60"/>
        <w:keepLines/>
      </w:pPr>
      <w:r>
        <w:rPr>
          <w:rFonts w:ascii="Arial" w:hAnsi="Arial" w:eastAsia="Arial"/>
          <w:b/>
          <w:color w:val="7D1238"/>
          <w:sz w:val="23"/>
        </w:rPr>
        <w:t>38. Blind diagnosis exercise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Learning objective: </w:t>
      </w:r>
      <w:r>
        <w:rPr>
          <w:rFonts w:ascii="Arial" w:hAnsi="Arial" w:eastAsia="Arial"/>
          <w:color w:val="111111"/>
          <w:sz w:val="19"/>
        </w:rPr>
        <w:t>Use trend evidence to identify a transient without being told the scenario.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7D1238"/>
          <w:sz w:val="19"/>
        </w:rPr>
        <w:t xml:space="preserve">Activity: </w:t>
      </w:r>
      <w:r>
        <w:rPr>
          <w:rFonts w:ascii="Arial" w:hAnsi="Arial" w:eastAsia="Arial"/>
          <w:color w:val="111111"/>
          <w:sz w:val="19"/>
        </w:rPr>
        <w:t>Hide the scenario name or let one student introduce a fault while another observes only the displays.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4A4F56"/>
          <w:sz w:val="19"/>
        </w:rPr>
        <w:t xml:space="preserve">Record or compare: </w:t>
      </w:r>
      <w:r>
        <w:rPr>
          <w:rFonts w:ascii="Arial" w:hAnsi="Arial" w:eastAsia="Arial"/>
          <w:color w:val="111111"/>
          <w:sz w:val="19"/>
        </w:rPr>
        <w:t>Possible diagnoses include LOFA, LOHS, SBLOCA, LBLOCA, SBO, excessive PORV opening, insufficient ECCS and loss of AFW.</w:t>
      </w:r>
    </w:p>
    <w:p>
      <w:pPr>
        <w:spacing w:after="80" w:line="252" w:lineRule="auto"/>
        <w:keepLines/>
      </w:pPr>
      <w:r>
        <w:rPr>
          <w:rFonts w:ascii="Arial" w:hAnsi="Arial" w:eastAsia="Arial"/>
          <w:b/>
          <w:color w:val="1E6B45"/>
          <w:sz w:val="19"/>
        </w:rPr>
        <w:t xml:space="preserve">Key lesson: </w:t>
      </w:r>
      <w:r>
        <w:rPr>
          <w:rFonts w:ascii="Arial" w:hAnsi="Arial" w:eastAsia="Arial"/>
          <w:color w:val="111111"/>
          <w:sz w:val="19"/>
        </w:rPr>
        <w:t>Students should state the evidence that supports their diagnosis, not merely name the event.</w:t>
      </w:r>
    </w:p>
    <w:p>
      <w:pPr>
        <w:pStyle w:val="Heading1"/>
        <w:keepNext/>
        <w:spacing w:before="240" w:after="100"/>
        <w:keepLines/>
      </w:pPr>
      <w:r>
        <w:rPr>
          <w:rFonts w:ascii="Arial" w:hAnsi="Arial" w:eastAsia="Arial"/>
          <w:b/>
          <w:color w:val="7D1238"/>
          <w:sz w:val="30"/>
        </w:rPr>
        <w:t>K. Recommended core laboratory set</w:t>
      </w:r>
    </w:p>
    <w:p>
      <w:pPr>
        <w:spacing w:after="100" w:line="252" w:lineRule="auto"/>
        <w:keepLines/>
      </w:pPr>
      <w:r>
        <w:rPr>
          <w:rFonts w:ascii="Arial" w:hAnsi="Arial" w:eastAsia="Arial"/>
          <w:i/>
          <w:color w:val="4A4F56"/>
          <w:sz w:val="19"/>
        </w:rPr>
        <w:t>A coherent introductory sequence for a normal undergraduate thermal-hydraulics course.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672"/>
        <w:gridCol w:w="5256"/>
      </w:tblGrid>
      <w:tr>
        <w:trPr>
          <w:tblHeader w:val="true"/>
        </w:trPr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Core exercise</w:t>
            </w:r>
          </w:p>
        </w:tc>
        <w:tc>
          <w:tcPr>
            <w:tcW w:type="dxa" w:w="3293"/>
            <w:shd w:fill="7D12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Primary learning outcome</w:t>
            </w:r>
          </w:p>
        </w:tc>
      </w:tr>
      <w:tr>
        <w:tc>
          <w:tcPr>
            <w:tcW w:type="dxa" w:w="79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67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Normal steady-state heat balance</w:t>
            </w:r>
          </w:p>
        </w:tc>
        <w:tc>
          <w:tcPr>
            <w:tcW w:type="dxa" w:w="525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Relate power generation, heat transfer and heat removal.</w:t>
            </w:r>
          </w:p>
        </w:tc>
      </w:tr>
      <w:tr>
        <w:tc>
          <w:tcPr>
            <w:tcW w:type="dxa" w:w="79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67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Effect of coolant flow</w:t>
            </w:r>
          </w:p>
        </w:tc>
        <w:tc>
          <w:tcPr>
            <w:tcW w:type="dxa" w:w="5256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Explain how reduced flow increases thermal resistance and component temperature.</w:t>
            </w:r>
          </w:p>
        </w:tc>
      </w:tr>
      <w:tr>
        <w:tc>
          <w:tcPr>
            <w:tcW w:type="dxa" w:w="79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67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SCRAM and decay-heat removal</w:t>
            </w:r>
          </w:p>
        </w:tc>
        <w:tc>
          <w:tcPr>
            <w:tcW w:type="dxa" w:w="525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Distinguish neutron shutdown from continuing residual heat generation.</w:t>
            </w:r>
          </w:p>
        </w:tc>
      </w:tr>
      <w:tr>
        <w:tc>
          <w:tcPr>
            <w:tcW w:type="dxa" w:w="79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67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Loss-of-flow accident</w:t>
            </w:r>
          </w:p>
        </w:tc>
        <w:tc>
          <w:tcPr>
            <w:tcW w:type="dxa" w:w="5256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Trace protection action, coastdown and natural-circulation cooling.</w:t>
            </w:r>
          </w:p>
        </w:tc>
      </w:tr>
      <w:tr>
        <w:tc>
          <w:tcPr>
            <w:tcW w:type="dxa" w:w="79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67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Loss of heat sink and AFW recovery</w:t>
            </w:r>
          </w:p>
        </w:tc>
        <w:tc>
          <w:tcPr>
            <w:tcW w:type="dxa" w:w="525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Connect secondary heat removal to primary temperature and pressure control.</w:t>
            </w:r>
          </w:p>
        </w:tc>
      </w:tr>
      <w:tr>
        <w:tc>
          <w:tcPr>
            <w:tcW w:type="dxa" w:w="79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67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SBLOCA: automatic versus manual ECCS</w:t>
            </w:r>
          </w:p>
        </w:tc>
        <w:tc>
          <w:tcPr>
            <w:tcW w:type="dxa" w:w="5256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Evaluate timing, pressure dependence and inventory recovery.</w:t>
            </w:r>
          </w:p>
        </w:tc>
      </w:tr>
      <w:tr>
        <w:tc>
          <w:tcPr>
            <w:tcW w:type="dxa" w:w="79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367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SBLOCA versus LBLOCA</w:t>
            </w:r>
          </w:p>
        </w:tc>
        <w:tc>
          <w:tcPr>
            <w:tcW w:type="dxa" w:w="525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Compare accident timescales, depressurization and reflood demand.</w:t>
            </w:r>
          </w:p>
        </w:tc>
      </w:tr>
      <w:tr>
        <w:tc>
          <w:tcPr>
            <w:tcW w:type="dxa" w:w="79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3672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7"/>
              </w:rPr>
              <w:t>Station blackout and long-term cooling</w:t>
            </w:r>
          </w:p>
        </w:tc>
        <w:tc>
          <w:tcPr>
            <w:tcW w:type="dxa" w:w="5256"/>
            <w:shd w:fill="F3F4F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sz w:val="17"/>
              </w:rPr>
              <w:t>Integrate coping, recovery, depressurization and RHR entry.</w:t>
            </w:r>
          </w:p>
        </w:tc>
      </w:tr>
    </w:tbl>
    <w:p>
      <w:pPr>
        <w:spacing w:before="200"/>
        <w:keepLines/>
      </w:pPr>
      <w:r>
        <w:rPr>
          <w:rFonts w:ascii="Arial" w:hAnsi="Arial" w:eastAsia="Arial"/>
          <w:b/>
          <w:color w:val="7D1238"/>
          <w:sz w:val="20"/>
        </w:rPr>
        <w:t>Suggested assessment dimensions</w:t>
      </w:r>
    </w:p>
    <w:p>
      <w:pPr>
        <w:pStyle w:val="ListBullet"/>
        <w:spacing w:after="6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Correct identification of the initiating event and relevant system trends.</w:t>
      </w:r>
    </w:p>
    <w:p>
      <w:pPr>
        <w:pStyle w:val="ListBullet"/>
        <w:spacing w:after="6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Appropriate prioritization of reactor trip, inventory control and heat removal.</w:t>
      </w:r>
    </w:p>
    <w:p>
      <w:pPr>
        <w:pStyle w:val="ListBullet"/>
        <w:spacing w:after="6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Use of quantitative evidence from the strip chart or CSV record.</w:t>
      </w:r>
    </w:p>
    <w:p>
      <w:pPr>
        <w:pStyle w:val="ListBullet"/>
        <w:spacing w:after="6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Explanation of cause-and-effect relationships and unintended consequences of actions.</w:t>
      </w:r>
    </w:p>
    <w:p>
      <w:pPr>
        <w:pStyle w:val="ListBullet"/>
        <w:spacing w:after="60" w:line="240" w:lineRule="auto"/>
        <w:ind w:left="360" w:hanging="216"/>
        <w:keepLines/>
      </w:pPr>
      <w:r>
        <w:rPr>
          <w:rFonts w:ascii="Arial" w:hAnsi="Arial" w:eastAsia="Arial"/>
          <w:sz w:val="18"/>
        </w:rPr>
        <w:t>Clear statement of the simulator limitations and avoidance of plant-specific safety claims.</w:t>
      </w:r>
    </w:p>
    <w:p>
      <w:pPr>
        <w:spacing w:before="200" w:after="80"/>
        <w:keepLines/>
      </w:pPr>
      <w:r>
        <w:rPr>
          <w:rFonts w:ascii="Arial" w:hAnsi="Arial" w:eastAsia="Arial"/>
          <w:b/>
          <w:color w:val="7D1238"/>
          <w:sz w:val="20"/>
        </w:rPr>
        <w:t>Closing note</w:t>
      </w:r>
    </w:p>
    <w:p>
      <w:pPr>
        <w:spacing w:after="40"/>
        <w:keepLines/>
      </w:pPr>
      <w:r>
        <w:rPr>
          <w:rFonts w:ascii="Arial" w:hAnsi="Arial" w:eastAsia="Arial"/>
          <w:sz w:val="19"/>
        </w:rPr>
        <w:t>The exercises should be introduced progressively: first normal heat-transfer behaviour, then reactor trip and residual heat, followed by single-failure transients, loss-of-coolant accidents and finally open-ended diagnosis. This progression allows the simulator to function as both a guided visualization tool and a quantitative laboratory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4A4F56"/>
        <w:sz w:val="15"/>
      </w:rPr>
      <w:t xml:space="preserve">Thermal-Hydraulics Simulator Exercises  |  </w:t>
    </w:r>
    <w:r>
      <w:rPr>
        <w:rFonts w:ascii="Arial" w:hAnsi="Arial" w:eastAsia="Arial"/>
        <w:color w:val="4A4F56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7D1238"/>
        <w:sz w:val="15"/>
      </w:rPr>
      <w:t>OPEN NUCLEAR ENGINEERING TEACHING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7D12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D12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2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D1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4A4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Thermal-Hydraulics and LOCA Simulator - Possible Student Exercises</dc:title>
  <dc:subject>Open Nuclear Engineering Teaching Suite undergraduate exercise guide</dc:subject>
  <dc:creator>Open Nuclear Engineering Teaching Suite</dc:creator>
  <cp:keywords>nuclear engineering, thermal hydraulics, LOCA, teaching simulator, student exercises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