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Aptos" w:hAnsi="Aptos"/>
          <w:b/>
          <w:color w:val="2A9D8F"/>
          <w:sz w:val="20"/>
        </w:rPr>
        <w:t>STUDENT EXPERIMENT GUIDE</w:t>
      </w:r>
    </w:p>
    <w:p>
      <w:pPr>
        <w:spacing w:after="200"/>
        <w:jc w:val="center"/>
      </w:pPr>
      <w:r>
        <w:rPr>
          <w:rFonts w:ascii="Aptos" w:hAnsi="Aptos"/>
          <w:b/>
          <w:color w:val="17324D"/>
          <w:sz w:val="56"/>
        </w:rPr>
        <w:t>Core Loading &amp; Fuel Management</w:t>
      </w:r>
    </w:p>
    <w:p>
      <w:pPr>
        <w:spacing w:after="520"/>
        <w:jc w:val="center"/>
      </w:pPr>
      <w:r>
        <w:rPr>
          <w:rFonts w:ascii="Aptos" w:hAnsi="Aptos"/>
          <w:b w:val="0"/>
          <w:color w:val="566573"/>
          <w:sz w:val="28"/>
        </w:rPr>
        <w:t>Six guided investigations of loading patterns, criticality, depletion and refueling</w:t>
      </w:r>
    </w:p>
    <w:p>
      <w:pPr>
        <w:jc w:val="center"/>
      </w:pPr>
      <w:r>
        <w:rPr>
          <w:rFonts w:ascii="Aptos" w:hAnsi="Aptos"/>
          <w:b/>
          <w:color w:val="E9A23B"/>
          <w:sz w:val="24"/>
        </w:rPr>
        <w:t>Observe • Predict • Test • Explain</w:t>
      </w:r>
    </w:p>
    <w:p>
      <w:pPr>
        <w:spacing w:before="2400"/>
        <w:jc w:val="center"/>
      </w:pPr>
      <w:r>
        <w:rPr>
          <w:rFonts w:ascii="Aptos" w:hAnsi="Aptos"/>
          <w:b w:val="0"/>
          <w:color w:val="566573"/>
          <w:sz w:val="20"/>
        </w:rPr>
        <w:t>Open Nuclear Engineering Teaching Suite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>One change at a time: Recalculate after each controlled pattern or setting change; preserve a baseline state.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>Make a prediction: Sketch the expected flux, power, leakage, peaking, or isotope response before solving.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>Use evidence: Compare maps and indicators; export CSV or save JSON when quantitative evidence is requested.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>Preserve identity: Distinguish permanent assembly IDs from Rxx-Cxx core positions during refueling exercises.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E9A23B"/>
          <w:sz w:val="20"/>
        </w:rPr>
        <w:t>Scope: Treat all results as classroom-model outputs, not design, licensing, criticality-safety, or fuel-management limits.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Heading2"/>
      </w:pPr>
      <w:r>
        <w:t>Main controls used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Assembly palette, loading presets, editable 11 x 11 map, and display-variable selector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Cycle step/run controls, exposure target, boron search, feedback fields, and control-bank insertion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Top, 3-D, split, trends, power-change, inventory, and EOC-to-BOC comparison views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Move/swap, storage, guided refueling, validation, undo/redo, JSON state, and CSV export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Heading2"/>
      </w:pPr>
      <w:r>
        <w:t>Suggested assessment evidence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>Prediction map or annotated symmetry/leakage sketch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>CSV comparison with selected indicators and assembly IDs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>Short explanation using diffusion, fission rate, depletion, feedback, or isotope balance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67CB9"/>
          <w:sz w:val="20"/>
        </w:rPr>
        <w:t>A limitations statement separating model-relative conclusions from real-core claims</w:t>
      </w:r>
      <w:r>
        <w:rPr>
          <w:rFonts w:ascii="Aptos" w:hAnsi="Aptos"/>
          <w:b w:val="0"/>
          <w:color w:val="17212B"/>
          <w:sz w:val="20"/>
        </w:rPr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1</w:t>
      </w:r>
    </w:p>
    <w:p>
      <w:pPr>
        <w:pStyle w:val="Heading1"/>
        <w:spacing w:after="160"/>
      </w:pPr>
      <w:r>
        <w:t>Loading pattern, symmetry and radial leakage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Relate loading symmetry and position to flux, power, leakage, and peaking.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how a centreward move and a one-sided swap will change the map and imbalance indicators.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Conventional three-batch preset; BOC; 0% bank insertion; recalculate rather than advance exposure.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Load the conventional three-batch PWR preset and recalculate the current state.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Record flux, power, leakage, centre-to-edge ratio, directional tilts, centroid offset, and radial peak.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Move one fresh assembly from the periphery toward the centre and recalculate.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Create a deliberately asymmetric exchange on one side of the core and recalculate.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Return to the symmetric baseline and export the three cases to CSV.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Fast/thermal flux and power maps plus leakage, peaking, centre-to-edge, tilt, and centroid indicators.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Assembly IDs and positions changed in each trial.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1. Why do central and peripheral assemblies with the same fuel type have different flux and power?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2. Which indicators respond most clearly to broken loading symmetry?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3. Why can local power rise even when the repeatedly normalized map looks visually similar?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Heading2"/>
      </w:pPr>
      <w:r>
        <w:t>Extension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E9A23B"/>
          <w:sz w:val="20"/>
        </w:rPr>
        <w:t>Challenge: Use Power change: BOC and Lock scale to BOC to reveal redistribution that normalized power can hide.</w:t>
      </w:r>
      <w:r>
        <w:rPr>
          <w:rFonts w:ascii="Aptos" w:hAnsi="Aptos"/>
          <w:b w:val="0"/>
          <w:color w:val="17212B"/>
          <w:sz w:val="20"/>
        </w:rPr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2</w:t>
      </w:r>
    </w:p>
    <w:p>
      <w:pPr>
        <w:pStyle w:val="Heading1"/>
        <w:spacing w:after="160"/>
      </w:pPr>
      <w:r>
        <w:t>Uncontrolled k-effective and soluble-boron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Explain the difference between uncontrolled eigenvalue and boron-controlled operation across a cycle.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the direction of k-effective and soluble-boron demand with increasing exposure.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Conventional preset; equal exposure steps; fixed loading and bank insertion.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Load the conventional preset at beginning of cycle; record uncontrolled k, operating k, and required boron.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Advance the cycle in equal full-power-day steps while keeping the loading fixed.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At each step record exposure, uncontrolled k, operating k, boron, average burnup, and radial peak.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Continue toward the requested stopping exposure or until the warning threshold stops the run.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Plot k-effective and required boron against exposure.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Uncontrolled k, boron-controlled operating k, required boron, exposure, burnup, and peaking.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Exposure at which boron approaches zero and operating k can no longer be held at unity.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1. Why does uncontrolled k generally fall with exposure in this model?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2. Why can operating k remain near one while required boron changes?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3. Why is the calculated boron requirement illustrative rather than a plant letdown prediction?</w:t>
      </w:r>
      <w:r>
        <w:rPr>
          <w:rFonts w:ascii="Aptos" w:hAnsi="Aptos"/>
          <w:b w:val="0"/>
          <w:color w:val="17212B"/>
          <w:sz w:val="20"/>
        </w:rPr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3</w:t>
      </w:r>
    </w:p>
    <w:p>
      <w:pPr>
        <w:pStyle w:val="Heading1"/>
        <w:spacing w:after="160"/>
      </w:pPr>
      <w:r>
        <w:t>Control-bank worth and shutdown margin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Relate symmetric absorber insertion to control worth, power redistribution, and illustrative shutdown margin.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how k, inserted worth, and local power respond as bank insertion increases.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Symmetric conventional loading; BOC; compare several insertion levels before changing the loading.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Reset to a symmetric conventional loading and record the unrodded solution.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Apply several bank insertion levels, for example 0%, 25%, 50%, 75%, and 100%.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Recalculate at each level and record uncontrolled k, operating k, control worth, all-banks-in k, and shutdown margin.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Compare power maps and directional indicators as absorber is applied to the fixed symmetric bank pattern.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Repeat one insertion level after introducing a mild loading asymmetry.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Bank insertion, inserted worth, uncontrolled/operating/all-banks-in k, shutdown margin, and power peak.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Power-map changes inside and outside the predefined 29 bank positions.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1. Why does added rod absorption reduce the eigenvalue?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2. Why is inserted worth not necessarily proportional to insertion percentage?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3. What does a positive illustrative shutdown margin mean inside this model, and what does it not prove?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Heading2"/>
      </w:pPr>
      <w:r>
        <w:t>Extension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E9A23B"/>
          <w:sz w:val="20"/>
        </w:rPr>
        <w:t>Challenge: Compare the same insertion in a symmetric and asymmetric loading; explain any change in worth or power shape.</w:t>
      </w:r>
      <w:r>
        <w:rPr>
          <w:rFonts w:ascii="Aptos" w:hAnsi="Aptos"/>
          <w:b w:val="0"/>
          <w:color w:val="17212B"/>
          <w:sz w:val="20"/>
        </w:rPr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4</w:t>
      </w:r>
    </w:p>
    <w:p>
      <w:pPr>
        <w:pStyle w:val="Heading1"/>
        <w:spacing w:after="160"/>
      </w:pPr>
      <w:r>
        <w:t>Cycle depletion, feedback and fission-product poisons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Distinguish steady feedback fields from stepwise depletion and poison inventories.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centre-versus-edge temperature, density, xenon, and burnup trends.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Conventional preset; select a permanent centre and edge assembly; equal full-power-day steps.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Load the conventional preset and select maps for fuel temperature, moderator temperature/density, and Xe-135.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Record the beginning-of-cycle steady state and selected assembly values at the centre and edge.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Advance equal exposure steps; monitor U-235, Pu-239, burnable absorber, Pm-149, Sm-149, Xe-135, and burnup.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Use Trends to follow both whole-core indicators and one permanent assembly ID.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Export the final assembly table for comparison with the initial state.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Centre/edge flux and power, temperatures, moderator density, poison inventories, heavy-metal inventories, and burnup.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Which variables are solved as equilibrium fields and which accumulate from step to step.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1. How do local power and temperature feedback influence each other during the steady-state iteration?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2. Why does Xe-135 here represent equilibrium full-power poisoning rather than a shutdown xenon peak?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3. How do depletion and breeding change the reactivity trend even when boron keeps operating k near one?</w:t>
      </w:r>
      <w:r>
        <w:rPr>
          <w:rFonts w:ascii="Aptos" w:hAnsi="Aptos"/>
          <w:b w:val="0"/>
          <w:color w:val="17212B"/>
          <w:sz w:val="20"/>
        </w:rPr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5</w:t>
      </w:r>
    </w:p>
    <w:p>
      <w:pPr>
        <w:pStyle w:val="Heading1"/>
        <w:spacing w:after="160"/>
      </w:pPr>
      <w:r>
        <w:t>Thorium conversion and outage decay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Follow Pa-233 production/decay and U-233 accumulation through irradiation and an outage.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Predict the signs of Pa-233 and U-233 changes during power operation and zero-power decay.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Thorium seed-blanket preset; equal exposure steps; one saved pre-outage state.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Load the thorium seed-blanket preset and identify seed, thorium-bearing, reflector, and empty positions.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Record Pa-233, U-233, conversion ratio, flux, and power at beginning of cycle.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Advance several equal full-power-day steps and follow a selected thorium-bearing assembly in Trends.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Begin the next cycle with a specified zero-power outage and preserve the assembly identity.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Compare Pa-233 and U-233 immediately before and after outage decay.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Core conversion ratio plus selected-assembly Pa-233, U-233, flux, power, burnup, and permanent ID.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Inventory changes during irradiation versus during the zero-power outage.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1. Why can Pa-233 fall while U-233 rises during an outage?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2. Which processes continue during the analytic outage step and which require full-power exposure?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3. Why is the conversion ratio a teaching indicator rather than a validated breeding prediction?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Heading2"/>
      </w:pPr>
      <w:r>
        <w:t>Extension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E9A23B"/>
          <w:sz w:val="20"/>
        </w:rPr>
        <w:t>Challenge: Compare the thorium preset with the conventional preset at matched exposure using the same recorded indicators.</w:t>
      </w:r>
      <w:r>
        <w:rPr>
          <w:rFonts w:ascii="Aptos" w:hAnsi="Aptos"/>
          <w:b w:val="0"/>
          <w:color w:val="17212B"/>
          <w:sz w:val="20"/>
        </w:rPr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2A9D8F"/>
          <w:sz w:val="19"/>
        </w:rPr>
        <w:t>EXPERIMENT 6</w:t>
      </w:r>
    </w:p>
    <w:p>
      <w:pPr>
        <w:pStyle w:val="Heading1"/>
        <w:spacing w:after="160"/>
      </w:pPr>
      <w:r>
        <w:t>Guided refueling and EOC-to-BOC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Execute a state-preserving draft reload and compare previous EOC with next-cycle BOC.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Before running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Plan where fresh, once-burned, and twice-burned assemblies should be placed and which checks may warn.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shd w:fill="17324D"/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Suggested setup</w:t>
            </w:r>
          </w:p>
        </w:tc>
        <w:tc>
          <w:tcPr>
            <w:tcW w:type="dxa" w:w="7704"/>
            <w:tcMar>
              <w:top w:w="90" w:type="dxa"/>
              <w:bottom w:w="90" w:type="dxa"/>
              <w:start w:w="120" w:type="dxa"/>
              <w:end w:w="120" w:type="dxa"/>
            </w:tcMar>
            <w:shd w:fill="EEF4F8"/>
            <w:vAlign w:val="center"/>
          </w:tcPr>
          <w:p>
            <w:r>
              <w:rPr>
                <w:rFonts w:ascii="Aptos" w:hAnsi="Aptos"/>
                <w:b w:val="0"/>
                <w:color w:val="17212B"/>
                <w:sz w:val="19"/>
              </w:rPr>
              <w:t>Saved EOC state; guided refueling workspace; JSON backup; commit only after validation.</w:t>
            </w:r>
          </w:p>
        </w:tc>
      </w:tr>
    </w:tbl>
    <w:p>
      <w:pPr>
        <w:pStyle w:val="Heading2"/>
      </w:pPr>
      <w:r>
        <w:t>Procedure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Complete or load an end-of-cycle conventional state and save a JSON backup.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Open the guided refueling workspace and unload the core to staging.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Build a draft using eligible once-/twice-burned assemblies and distinct new-fuel IDs; use undo/redo at least once.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Validate the draft, correct all errors, and review warnings for k, boron, peaking, and shutdown margin.</w:t>
      </w:r>
    </w:p>
    <w:p>
      <w:pPr>
        <w:pStyle w:val="ListNumber"/>
        <w:spacing w:after="80"/>
        <w:ind w:left="504" w:hanging="288"/>
      </w:pPr>
      <w:r>
        <w:rPr>
          <w:rFonts w:ascii="Aptos" w:hAnsi="Aptos"/>
          <w:b w:val="0"/>
          <w:color w:val="17212B"/>
          <w:sz w:val="20"/>
        </w:rPr>
        <w:t>Preview EOC to BOC, then commit the loading and save the new-cycle JSON state.</w:t>
      </w:r>
    </w:p>
    <w:p>
      <w:pPr>
        <w:pStyle w:val="Heading2"/>
      </w:pPr>
      <w:r>
        <w:t>Record and compare</w:t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Outgoing/incoming positions, permanent IDs, burnup, completed cycles, eligibility, EOC/BOC power change, and validation results.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ListBullet"/>
        <w:spacing w:after="80"/>
        <w:ind w:left="461" w:hanging="259"/>
      </w:pPr>
      <w:r>
        <w:rPr>
          <w:rFonts w:ascii="Aptos" w:hAnsi="Aptos"/>
          <w:b/>
          <w:color w:val="2A9D8F"/>
          <w:sz w:val="20"/>
        </w:rPr>
        <w:t>Evidence that assembly histories and inventories followed physical IDs rather than grid positions.</w:t>
      </w:r>
      <w:r>
        <w:rPr>
          <w:rFonts w:ascii="Aptos" w:hAnsi="Aptos"/>
          <w:b w:val="0"/>
          <w:color w:val="17212B"/>
          <w:sz w:val="20"/>
        </w:rPr>
      </w:r>
    </w:p>
    <w:p>
      <w:pPr>
        <w:pStyle w:val="Heading2"/>
      </w:pPr>
      <w:r>
        <w:t>Analysis questions</w:t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1. Why must an irradiated assembly card be single-use while a new-fuel type can create multiple IDs?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2. Which validation checks protect the internal consistency of the classroom refueling transaction?</w:t>
      </w:r>
      <w:r>
        <w:rPr>
          <w:rFonts w:ascii="Aptos" w:hAnsi="Aptos"/>
          <w:b w:val="0"/>
          <w:color w:val="17212B"/>
          <w:sz w:val="20"/>
        </w:rPr>
      </w:r>
    </w:p>
    <w:p>
      <w:pPr>
        <w:spacing w:after="80"/>
      </w:pPr>
      <w:r>
        <w:rPr>
          <w:rFonts w:ascii="Aptos" w:hAnsi="Aptos"/>
          <w:b/>
          <w:color w:val="E9A23B"/>
          <w:sz w:val="20"/>
        </w:rPr>
        <w:t>3. Why does a successful model validation not authorize a real reload decision?</w:t>
      </w:r>
      <w:r>
        <w:rPr>
          <w:rFonts w:ascii="Aptos" w:hAnsi="Aptos"/>
          <w:b w:val="0"/>
          <w:color w:val="17212B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66573"/>
        <w:sz w:val="16"/>
      </w:rPr>
      <w:t>Teaching software only • qualitative classroom results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566573"/>
        <w:sz w:val="17"/>
      </w:rPr>
      <w:t>Core Loading &amp; Fuel Management — Student Experiment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C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Reactor Simulator Student Experiments</dc:title>
  <dc:subject>Physics-audited student experiments for core loading and fuel management</dc:subject>
  <dc:creator>Open Nuclear Engineering Teaching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