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Aptos" w:hAnsi="Aptos"/>
          <w:b/>
          <w:color w:val="2A9D8F"/>
          <w:sz w:val="22"/>
        </w:rPr>
        <w:t>THREE SIMULATORS, ONE TEACHING SUITE</w:t>
      </w:r>
    </w:p>
    <w:p>
      <w:pPr>
        <w:jc w:val="center"/>
      </w:pPr>
      <w:r>
        <w:rPr>
          <w:rFonts w:ascii="Aptos" w:hAnsi="Aptos"/>
          <w:b/>
          <w:color w:val="17324D"/>
          <w:sz w:val="62"/>
        </w:rPr>
        <w:t>Open Nuclear Engineering</w:t>
        <w:br/>
        <w:t>Teaching Simulators</w:t>
      </w:r>
    </w:p>
    <w:p>
      <w:pPr>
        <w:jc w:val="center"/>
      </w:pPr>
      <w:r>
        <w:rPr>
          <w:rFonts w:ascii="Aptos" w:hAnsi="Aptos"/>
          <w:b w:val="0"/>
          <w:color w:val="566573"/>
          <w:sz w:val="32"/>
        </w:rPr>
        <w:t>Scope, physics, simplifications and pedagogical choices</w:t>
      </w:r>
    </w:p>
    <w:p>
      <w:pPr>
        <w:spacing w:before="440"/>
        <w:jc w:val="center"/>
      </w:pPr>
      <w:r>
        <w:rPr>
          <w:rFonts w:ascii="Aptos" w:hAnsi="Aptos"/>
          <w:b/>
          <w:color w:val="267CB9"/>
          <w:sz w:val="25"/>
        </w:rPr>
        <w:t>Reactor Physics  •  Thermal-Hydraulics &amp; LOCA  •  Core Loading &amp; Fuel Management</w:t>
      </w:r>
    </w:p>
    <w:p>
      <w:pPr>
        <w:sectPr>
          <w:footerReference w:type="default" r:id="rId9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ORIENTATION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1. What they are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89"/>
        <w:gridCol w:w="4589"/>
        <w:gridCol w:w="4589"/>
      </w:tblGrid>
      <w:tr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Reactor Physics &amp; Kinetics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A zero-dimensional kinetics and controls laboratory, from classroom-scaled response to a dimensioned Representative LWR profile.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Thermal-Hydraulics &amp; LOCA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A conserved lumped-system model of power, decay heat, coolant mass/energy, pressure, boiling, CHF and safety-system response.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Core Loading &amp; Fuel Management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An assembly-level 11 x 11 two-group diffusion, depletion, feedback, control-bank and multi-cycle refueling laboratory.</w:t>
            </w:r>
          </w:p>
        </w:tc>
      </w:tr>
    </w:tbl>
    <w:p/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Shared identity: </w:t>
      </w:r>
      <w:r>
        <w:rPr>
          <w:rFonts w:ascii="Aptos" w:hAnsi="Aptos"/>
          <w:b w:val="0"/>
          <w:color w:val="17212B"/>
          <w:sz w:val="23"/>
        </w:rPr>
        <w:t>Interactive Python desktop teaching tools with plots, scenarios and exportable evidence. They span different time and spatial scales.</w:t>
      </w:r>
    </w:p>
    <w:p>
      <w:pPr>
        <w:sectPr>
          <w:footerReference w:type="default" r:id="rId10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LEARNING INTERACTIONS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2. What they 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89"/>
        <w:gridCol w:w="4589"/>
        <w:gridCol w:w="4589"/>
      </w:tblGrid>
      <w:tr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Seconds-scale kinetics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Explore reactivity balance, delayed neutrons, poisons, power/heat, feedback, startup, SCRAM and faults.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Accident-response trends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Explore inventory, stored energy, saturation, boiling/CHF, breaks, heat sinks, ECCS, AFW, spray and RHR.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Cycle and spatial studies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Explore loading patterns, eigenvalue, power shape, leakage, burnup, breeding, poisons, control and refueling.</w:t>
            </w:r>
          </w:p>
        </w:tc>
      </w:tr>
    </w:tbl>
    <w:p/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Teaching workflow: </w:t>
      </w:r>
      <w:r>
        <w:rPr>
          <w:rFonts w:ascii="Aptos" w:hAnsi="Aptos"/>
          <w:b w:val="0"/>
          <w:color w:val="17212B"/>
          <w:sz w:val="23"/>
        </w:rPr>
        <w:t>Predict, select a controlled case, change one factor, observe coupled response, export evidence, explain limitations.</w:t>
      </w:r>
    </w:p>
    <w:p>
      <w:pPr>
        <w:sectPr>
          <w:footerReference w:type="default" r:id="rId11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SCOPE BOUNDARY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3. What they do not do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No engineering prediction: </w:t>
      </w:r>
      <w:r>
        <w:rPr>
          <w:rFonts w:ascii="Aptos" w:hAnsi="Aptos"/>
          <w:b w:val="0"/>
          <w:color w:val="17212B"/>
          <w:sz w:val="23"/>
        </w:rPr>
        <w:t>Results are qualitative and classroom-calibrated; plausible values are not evidence of plant accuracy.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No design or licensing: </w:t>
      </w:r>
      <w:r>
        <w:rPr>
          <w:rFonts w:ascii="Aptos" w:hAnsi="Aptos"/>
          <w:b w:val="0"/>
          <w:color w:val="17212B"/>
          <w:sz w:val="23"/>
        </w:rPr>
        <w:t>Not for safety analysis, core design, criticality safety, operating limits, procedures or regulatory submissions.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No full fidelity: </w:t>
      </w:r>
      <w:r>
        <w:rPr>
          <w:rFonts w:ascii="Aptos" w:hAnsi="Aptos"/>
          <w:b w:val="0"/>
          <w:color w:val="17212B"/>
          <w:sz w:val="23"/>
        </w:rPr>
        <w:t>No pin/axial detail, full plant geometry, multidimensional two-phase flow, evaluated-data processing or validated component models.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No operator qualification: </w:t>
      </w:r>
      <w:r>
        <w:rPr>
          <w:rFonts w:ascii="Aptos" w:hAnsi="Aptos"/>
          <w:b w:val="0"/>
          <w:color w:val="17212B"/>
          <w:sz w:val="23"/>
        </w:rPr>
        <w:t>Interfaces and scenarios teach relationships; they are not full-scope simulators or real-time decision tools.</w:t>
      </w:r>
    </w:p>
    <w:p>
      <w:pPr>
        <w:sectPr>
          <w:footerReference w:type="default" r:id="rId12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MODEL CONTENT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4. Physics included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89"/>
        <w:gridCol w:w="4589"/>
        <w:gridCol w:w="4589"/>
      </w:tblGrid>
      <w:tr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Reactor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Six-group point kinetics; four prompt presets; I/Xe and Pm/Sm; decay heat; detailed reactivity balance; source-range startup; finite SCRAM; optional 3000 MWth energy balance.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Thermal-hydraulics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Point kinetics and decay heat; fuel/clad nodes; coolant mass and stored energy; enthalpy flows; saturation pressure; boiling regimes/CHF; breaks and engineered heat removal.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Core loading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Two-group diffusion k-eigenvalue; fission-rate power; depletion/breeding; thermal feedback; equilibrium Xe and evolving Sm; boron search; symmetric control banks; assembly tracking.</w:t>
            </w:r>
          </w:p>
        </w:tc>
      </w:tr>
    </w:tbl>
    <w:p>
      <w:pPr>
        <w:sectPr>
          <w:footerReference w:type="default" r:id="rId13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DELIBERATE ABSTRACTION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5. Physics simplified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Reactor: </w:t>
      </w:r>
      <w:r>
        <w:rPr>
          <w:rFonts w:ascii="Aptos" w:hAnsi="Aptos"/>
          <w:b w:val="0"/>
          <w:color w:val="17212B"/>
          <w:sz w:val="23"/>
        </w:rPr>
        <w:t>One point core; equivalent coefficients and banks; compressed poison/exposure options; dimensioned parameters remain declared teaching references.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Thermal-hydraulics: </w:t>
      </w:r>
      <w:r>
        <w:rPr>
          <w:rFonts w:ascii="Aptos" w:hAnsi="Aptos"/>
          <w:b w:val="0"/>
          <w:color w:val="17212B"/>
          <w:sz w:val="23"/>
        </w:rPr>
        <w:t>One primary volume; compact saturation table; coefficient-based critical flow, CHF, void, core coverage and safety-system effectiveness.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Core loading: </w:t>
      </w:r>
      <w:r>
        <w:rPr>
          <w:rFonts w:ascii="Aptos" w:hAnsi="Aptos"/>
          <w:b w:val="0"/>
          <w:color w:val="17212B"/>
          <w:sz w:val="23"/>
        </w:rPr>
        <w:t>One homogenized cell per assembly; 2-D only; compact cross sections/depletion; algebraic feedback fields; equilibrium full-power xenon.</w:t>
      </w:r>
    </w:p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Across the suite: </w:t>
      </w:r>
      <w:r>
        <w:rPr>
          <w:rFonts w:ascii="Aptos" w:hAnsi="Aptos"/>
          <w:b w:val="0"/>
          <w:color w:val="17212B"/>
          <w:sz w:val="23"/>
        </w:rPr>
        <w:t>Bounds, smooth transitions and controlled numerical schemes prioritize stable, interpretable comparisons.</w:t>
      </w:r>
    </w:p>
    <w:p>
      <w:pPr>
        <w:sectPr>
          <w:footerReference w:type="default" r:id="rId14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WHY THE MODELS ARE OBSERVABLE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6. Pedagogical decisions taken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41"/>
        <w:gridCol w:w="3441"/>
        <w:gridCol w:w="3441"/>
        <w:gridCol w:w="3441"/>
      </w:tblGrid>
      <w:tr>
        <w:tc>
          <w:tcPr>
            <w:tcW w:type="dxa" w:w="3402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Selectable kinetics timescales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Reactor Lambda ranges from 0.080 s to 2e-5 s. Realistic-scale response triggers internal RK4 substeps rather than changing animation speed.</w:t>
            </w:r>
          </w:p>
        </w:tc>
        <w:tc>
          <w:tcPr>
            <w:tcW w:type="dxa" w:w="3402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Compressed slow phenomena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Poison and exposure demonstrations can fit a class; active settings and provenance are exported so results remain interpretable.</w:t>
            </w:r>
          </w:p>
        </w:tc>
        <w:tc>
          <w:tcPr>
            <w:tcW w:type="dxa" w:w="3402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Evidence-rich safety physics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Thermal-hydraulics exposes saturation, regime, CHF and event transitions while retaining transparent mass/energy accounting.</w:t>
            </w:r>
          </w:p>
        </w:tc>
        <w:tc>
          <w:tcPr>
            <w:tcW w:type="dxa" w:w="3402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Visible spatial trade-offs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Core maps, power-change views, trends, permanent IDs and transactional refueling make fuel-management decisions reviewable.</w:t>
            </w:r>
          </w:p>
        </w:tc>
      </w:tr>
    </w:tbl>
    <w:p>
      <w:pPr>
        <w:sectPr>
          <w:footerReference w:type="default" r:id="rId15"/>
          <w:pgSz w:w="15840" w:h="12240" w:orient="landscape"/>
          <w:pgMar w:top="893" w:right="1037" w:bottom="792" w:left="1037" w:header="720" w:footer="720" w:gutter="0"/>
          <w:cols w:space="720"/>
          <w:docGrid w:linePitch="360"/>
        </w:sectPr>
      </w:pPr>
    </w:p>
    <w:p>
      <w:pPr>
        <w:spacing w:after="60"/>
      </w:pPr>
      <w:r>
        <w:rPr>
          <w:rFonts w:ascii="Aptos" w:hAnsi="Aptos"/>
          <w:b/>
          <w:color w:val="2A9D8F"/>
          <w:sz w:val="19"/>
        </w:rPr>
        <w:t>TEACHING SEQUENCE</w:t>
      </w:r>
    </w:p>
    <w:p>
      <w:pPr>
        <w:spacing w:after="260"/>
      </w:pPr>
      <w:r>
        <w:rPr>
          <w:rFonts w:ascii="Aptos" w:hAnsi="Aptos"/>
          <w:b/>
          <w:color w:val="17324D"/>
          <w:sz w:val="52"/>
        </w:rPr>
        <w:t>7. Choosing the right simulator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89"/>
        <w:gridCol w:w="4589"/>
        <w:gridCol w:w="4589"/>
      </w:tblGrid>
      <w:tr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Start with reactor physics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Use when the question begins with reactivity, neutron population, period, poisoning, feedback, power control or SCRAM.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Move to thermal-hydraulics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Use when the question is heat removal, pressure, inventory, boiling, CHF, LOCA, ECCS or accident recovery.</w:t>
            </w:r>
          </w:p>
        </w:tc>
        <w:tc>
          <w:tcPr>
            <w:tcW w:type="dxa" w:w="4536"/>
            <w:shd w:fill="F6F8FA"/>
            <w:tcMar>
              <w:top w:w="150" w:type="dxa"/>
              <w:bottom w:w="150" w:type="dxa"/>
              <w:start w:w="160" w:type="dxa"/>
              <w:end w:w="160" w:type="dxa"/>
            </w:tcMar>
            <w:vAlign w:val="center"/>
          </w:tcPr>
          <w:p>
            <w:r>
              <w:rPr>
                <w:rFonts w:ascii="Aptos" w:hAnsi="Aptos"/>
                <w:b/>
                <w:color w:val="267CB9"/>
                <w:sz w:val="28"/>
              </w:rPr>
              <w:t>Use core loading for cycles</w:t>
            </w:r>
          </w:p>
          <w:p>
            <w:r>
              <w:rPr>
                <w:rFonts w:ascii="Aptos" w:hAnsi="Aptos"/>
                <w:b w:val="0"/>
                <w:color w:val="17212B"/>
                <w:sz w:val="21"/>
              </w:rPr>
              <w:t>Use when the question is spatial power, leakage, loading pattern, depletion, breeding, control worth, boron or refueling.</w:t>
            </w:r>
          </w:p>
        </w:tc>
      </w:tr>
    </w:tbl>
    <w:p/>
    <w:p>
      <w:pPr>
        <w:pStyle w:val="ListBullet"/>
        <w:spacing w:after="120"/>
      </w:pPr>
      <w:r>
        <w:rPr>
          <w:rFonts w:ascii="Aptos" w:hAnsi="Aptos"/>
          <w:b/>
          <w:color w:val="2A9D8F"/>
          <w:sz w:val="23"/>
        </w:rPr>
        <w:t xml:space="preserve">Best practice: </w:t>
      </w:r>
      <w:r>
        <w:rPr>
          <w:rFonts w:ascii="Aptos" w:hAnsi="Aptos"/>
          <w:b w:val="0"/>
          <w:color w:val="17212B"/>
          <w:sz w:val="23"/>
        </w:rPr>
        <w:t>Compare trends with course theory, record non-default settings, and state which omitted physics a higher-fidelity code would require.</w:t>
      </w:r>
    </w:p>
    <w:sectPr w:rsidR="00FC693F" w:rsidRPr="0006063C" w:rsidSect="00034616">
      <w:footerReference w:type="default" r:id="rId16"/>
      <w:pgSz w:w="15840" w:h="12240" w:orient="landscape"/>
      <w:pgMar w:top="893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1</w:t>
    </w:r>
    <w:r>
      <w:rPr>
        <w:rFonts w:ascii="Aptos" w:hAnsi="Aptos"/>
        <w:b w:val="0"/>
        <w:color w:val="566573"/>
        <w:sz w:val="17"/>
      </w:rPr>
    </w:r>
    <w:r>
      <w:rPr>
        <w:rFonts w:ascii="Aptos" w:hAnsi="Aptos"/>
        <w:b w:val="0"/>
        <w:color w:val="566573"/>
        <w:sz w:val="17"/>
      </w:rPr>
    </w:r>
    <w:r>
      <w:rPr>
        <w:rFonts w:ascii="Aptos" w:hAnsi="Aptos"/>
        <w:b w:val="0"/>
        <w:color w:val="566573"/>
        <w:sz w:val="17"/>
      </w:rPr>
    </w:r>
    <w:r>
      <w:rPr>
        <w:rFonts w:ascii="Aptos" w:hAnsi="Aptos"/>
        <w:b w:val="0"/>
        <w:color w:val="566573"/>
        <w:sz w:val="17"/>
      </w:rPr>
    </w:r>
    <w:r>
      <w:rPr>
        <w:rFonts w:ascii="Aptos" w:hAnsi="Aptos"/>
        <w:b w:val="0"/>
        <w:color w:val="566573"/>
        <w:sz w:val="17"/>
      </w:rPr>
    </w:r>
    <w:r>
      <w:rPr>
        <w:rFonts w:ascii="Aptos" w:hAnsi="Aptos"/>
        <w:b w:val="0"/>
        <w:color w:val="566573"/>
        <w:sz w:val="17"/>
      </w:rPr>
    </w:r>
    <w:r>
      <w:rPr>
        <w:rFonts w:ascii="Aptos" w:hAnsi="Aptos"/>
        <w:b w:val="0"/>
        <w:color w:val="566573"/>
        <w:sz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2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3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4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5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6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7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6573"/>
        <w:sz w:val="17"/>
      </w:rPr>
      <w:t>Open Nuclear Engineering Teaching Suite  | 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Nuclear Engineering Teaching Simulators</dc:title>
  <dc:subject>Updated three-simulator overview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