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" w:hAnsi="Aptos"/>
          <w:b/>
          <w:color w:val="2A9D8F"/>
          <w:sz w:val="20"/>
        </w:rPr>
        <w:t>STUDENT EXPERIMENT GUIDE</w:t>
      </w:r>
    </w:p>
    <w:p>
      <w:pPr>
        <w:spacing w:after="200"/>
        <w:jc w:val="center"/>
      </w:pPr>
      <w:r>
        <w:rPr>
          <w:rFonts w:ascii="Aptos" w:hAnsi="Aptos"/>
          <w:b/>
          <w:color w:val="17324D"/>
          <w:sz w:val="56"/>
        </w:rPr>
        <w:t>Reactor Physics &amp; Kinetics</w:t>
      </w:r>
    </w:p>
    <w:p>
      <w:pPr>
        <w:spacing w:after="520"/>
        <w:jc w:val="center"/>
      </w:pPr>
      <w:r>
        <w:rPr>
          <w:rFonts w:ascii="Aptos" w:hAnsi="Aptos"/>
          <w:b w:val="0"/>
          <w:color w:val="566573"/>
          <w:sz w:val="28"/>
        </w:rPr>
        <w:t>Seven guided investigations of reactivity, kinetics, feedback and control</w:t>
      </w:r>
    </w:p>
    <w:p>
      <w:pPr>
        <w:jc w:val="center"/>
      </w:pPr>
      <w:r>
        <w:rPr>
          <w:rFonts w:ascii="Aptos" w:hAnsi="Aptos"/>
          <w:b/>
          <w:color w:val="E9A23B"/>
          <w:sz w:val="24"/>
        </w:rPr>
        <w:t>Observe • Predict • Test • Explain</w:t>
      </w:r>
    </w:p>
    <w:p>
      <w:pPr>
        <w:spacing w:before="2400"/>
        <w:jc w:val="center"/>
      </w:pPr>
      <w:r>
        <w:rPr>
          <w:rFonts w:ascii="Aptos" w:hAnsi="Aptos"/>
          <w:b w:val="0"/>
          <w:color w:val="566573"/>
          <w:sz w:val="20"/>
        </w:rPr>
        <w:t>Open Nuclear Engineering Teaching Suite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One change at a time: </w:t>
      </w:r>
      <w:r>
        <w:rPr>
          <w:rFonts w:ascii="Aptos" w:hAnsi="Aptos"/>
          <w:b w:val="0"/>
          <w:color w:val="17212B"/>
          <w:sz w:val="20"/>
        </w:rPr>
        <w:t>Reset between trials and vary one main input unless the experiment says otherwise.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Make a prediction: </w:t>
      </w:r>
      <w:r>
        <w:rPr>
          <w:rFonts w:ascii="Aptos" w:hAnsi="Aptos"/>
          <w:b w:val="0"/>
          <w:color w:val="17212B"/>
          <w:sz w:val="20"/>
        </w:rPr>
        <w:t>Write the expected direction and timing of each response before pressing Start.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Use evidence: </w:t>
      </w:r>
      <w:r>
        <w:rPr>
          <w:rFonts w:ascii="Aptos" w:hAnsi="Aptos"/>
          <w:b w:val="0"/>
          <w:color w:val="17212B"/>
          <w:sz w:val="20"/>
        </w:rPr>
        <w:t>Read trends from plots and export CSV data when quantitative comparison is requested.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Repeatability: </w:t>
      </w:r>
      <w:r>
        <w:rPr>
          <w:rFonts w:ascii="Aptos" w:hAnsi="Aptos"/>
          <w:b w:val="0"/>
          <w:color w:val="17212B"/>
          <w:sz w:val="20"/>
        </w:rPr>
        <w:t>Instrument noise means two runs may differ slightly. Repeat when necessary.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 xml:space="preserve">Scope: </w:t>
      </w:r>
      <w:r>
        <w:rPr>
          <w:rFonts w:ascii="Aptos" w:hAnsi="Aptos"/>
          <w:b w:val="0"/>
          <w:color w:val="17212B"/>
          <w:sz w:val="20"/>
        </w:rPr>
        <w:t>Treat values as classroom-scale model outputs, not plant predictions or safety limits.</w:t>
      </w:r>
    </w:p>
    <w:p>
      <w:pPr>
        <w:pStyle w:val="Heading2"/>
      </w:pPr>
      <w:r>
        <w:t>Main controls used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Rod position and ±5 pcm manual reactivity steps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Instructor kinetics/poison/physics presets; soluble boron, coolant flow and heat sink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Manual, automatic power-hold and load-follow modes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SCRAM, selectable faults, fault severity and instrument noise</w:t>
      </w:r>
    </w:p>
    <w:p>
      <w:pPr>
        <w:pStyle w:val="Heading2"/>
      </w:pPr>
      <w:r>
        <w:t>Suggested assessment evidence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Prediction table or annotated trend sketch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CSV plot with labelled event times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Short physical explanation using reactivity balance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A limitations statement distinguishing model behavior from plant behavior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1</w:t>
      </w:r>
    </w:p>
    <w:p>
      <w:pPr>
        <w:pStyle w:val="Heading1"/>
        <w:spacing w:after="160"/>
      </w:pPr>
      <w:r>
        <w:t>Small reactivity steps and reactor period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Relate reactivity insertion to power response and reactor period.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how +5, +10 and −5 pcm changes will affect initial power slope and period.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Reset; Manual mode; 100% flow and heat sink; default rod/boron; noise near 0–1%.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Start and allow the initial condition to settle.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Apply one +5 pcm step. Record power and period for 20–30 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Apply a second +5 pcm step; observe the changed slope.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 and repeat with one −5 pcm step.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Export the run or copy values at consistent times.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Reactivity (pcm), power (%) and period (s) immediately before and after each step.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Time required for power to change by a selected amount, such as 5 percentage points.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positive reactivity produce a positive power slope?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Is the response proportional to step size in this bounded model?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How do delayed-neutron precursors make the response different from an instantaneous jump?</w:t>
      </w:r>
    </w:p>
    <w:p>
      <w:pPr>
        <w:pStyle w:val="Heading2"/>
      </w:pPr>
      <w:r>
        <w:t>Extension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 xml:space="preserve">Challenge: </w:t>
      </w:r>
      <w:r>
        <w:rPr>
          <w:rFonts w:ascii="Aptos" w:hAnsi="Aptos"/>
          <w:b w:val="0"/>
          <w:color w:val="17212B"/>
          <w:sz w:val="20"/>
        </w:rPr>
        <w:t>Repeat with instrument noise increased and discuss whether the inferred period is still reliable.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2</w:t>
      </w:r>
    </w:p>
    <w:p>
      <w:pPr>
        <w:pStyle w:val="Heading1"/>
        <w:spacing w:after="160"/>
      </w:pPr>
      <w:r>
        <w:t>Control rods versus soluble boron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Compare two mechanisms that change total reactivity.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which direction rod withdrawal and boron addition move reactivity and power.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Manual mode; normal flow/heat sink; low noise; reset between trials.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Run a baseline trial and note total, rod, boron and xenon reactivity terms.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Withdraw the rod bank by a small fixed amount; record the transient.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Reset. Increase soluble boron by a fixed amount; record the transient.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Adjust rods to compensate for the added boron and approach criticality.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control changes that produce similar total reactivity.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Rod position, boron ppm, each reactivity contribution, total reactivity and power.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Approximate rod change required to offset the selected boron change.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can two different control settings produce similar total reactivity?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Which displayed term makes the reactivity balance easiest to explain?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Why should simulator worths not be treated as plant calibration data?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3</w:t>
      </w:r>
    </w:p>
    <w:p>
      <w:pPr>
        <w:pStyle w:val="Heading1"/>
        <w:spacing w:after="160"/>
      </w:pPr>
      <w:r>
        <w:t>Negative temperature feedback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Observe how thermal conditions feed back into reactivity.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the sequence after reducing coolant flow or heat-sink effectiveness.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Manual mode; stable power; default boron; low noise.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Record initial fuel, cladding and coolant temperatures plus temperature reactivity.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Reduce coolant flow moderately while keeping heat sink fixed.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Observe temperatures, temperature reactivity and neutron power until a clear trend appears.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 and repeat by reducing heat sink instead of flow.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the order and magnitude of responses.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Fuel/clad/coolant temperatures, temperature-reactivity term and power versus time.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Event time for control change and any automatic trip.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heating insert negative reactivity in the model?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Why can heat power and neutron power separate during a transient?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How do the three thermal time constants shape the lag?</w:t>
      </w:r>
    </w:p>
    <w:p>
      <w:pPr>
        <w:pStyle w:val="Heading2"/>
      </w:pPr>
      <w:r>
        <w:t>Extension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 xml:space="preserve">Challenge: </w:t>
      </w:r>
      <w:r>
        <w:rPr>
          <w:rFonts w:ascii="Aptos" w:hAnsi="Aptos"/>
          <w:b w:val="0"/>
          <w:color w:val="17212B"/>
          <w:sz w:val="20"/>
        </w:rPr>
        <w:t>Try a milder and a more severe flow reduction; identify when protection action dominates the natural feedback.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4</w:t>
      </w:r>
    </w:p>
    <w:p>
      <w:pPr>
        <w:pStyle w:val="Heading1"/>
        <w:spacing w:after="160"/>
      </w:pPr>
      <w:r>
        <w:t>SCRAM and decay heat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Distinguish fission power from total heat and residual decay heat.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which variable falls fastest after SCRAM and which remains significant.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Reach a stable operating condition near full power; normal cooling.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Start and run long enough to establish a baseline.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Press SCRAM and mark the event time.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Observe true neutron power, total heat and decay heat for at least 60 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Keep cooling normal; then repeat with a reduced heat sink after SCRAM.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Export both trials for overlay plotting.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Normalized neutron power, total heat, decay heat and fuel temperature.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Initial and later decay-heat percentages after SCRAM.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neutron power collapse faster than heat generation?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Why must cooling continue after shutdown?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How do the classroom-scaled decay groups affect the duration of the exercise?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5</w:t>
      </w:r>
    </w:p>
    <w:p>
      <w:pPr>
        <w:pStyle w:val="Heading1"/>
        <w:spacing w:after="160"/>
      </w:pPr>
      <w:r>
        <w:t>Iodine–xenon poisoning and load following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Explore delayed poisoning during changing power demand.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when xenon will rise or fall during a load-follow cycle.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Reset; select Load-follow demo; normal cooling; low noise.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Start load-follow mode and observe target and actual power.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Record iodine index, xenon index and xenon reactivity at regular intervals.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Identify a rising-power and falling-power portion of the cycle.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Pause at two contrasting points and compare the reactivity balance.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Explain the rod motion needed to maintain power as xenon changes.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Target/actual power, rod position, iodine, xenon and xenon reactivity.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Timing of xenon extrema relative to power extrema.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does xenon response lag power?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How does xenon burnout depend on power in the model?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What real-time scaling has been deliberately compressed for teaching?</w:t>
      </w:r>
    </w:p>
    <w:p>
      <w:pPr>
        <w:pStyle w:val="Heading2"/>
      </w:pPr>
      <w:r>
        <w:t>Extension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 xml:space="preserve">Challenge: </w:t>
      </w:r>
      <w:r>
        <w:rPr>
          <w:rFonts w:ascii="Aptos" w:hAnsi="Aptos"/>
          <w:b w:val="0"/>
          <w:color w:val="17212B"/>
          <w:sz w:val="20"/>
        </w:rPr>
        <w:t>Repeat in automatic power-hold mode after a power change and compare controller action.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6</w:t>
      </w:r>
    </w:p>
    <w:p>
      <w:pPr>
        <w:pStyle w:val="Heading1"/>
        <w:spacing w:after="160"/>
      </w:pPr>
      <w:r>
        <w:t>Fault diagnosis from conflicting indications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Use physical redundancy and trends to diagnose instrumentation or actuator faults.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signatures of detector bias, frozen detector, stuck rod and pump trip.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Choose one fault at a time; begin at low severity; do not reveal the chosen fault to the diagnosing student.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Student A selects and activates one fault; Student B observes without seeing the selection.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Apply a small, known control change and watch measured power, true power, temperatures and reactivity.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State a diagnosis and cite at least three pieces of evidence.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Reveal the fault; reset and repeat with a different fault.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Increase severity and discuss whether diagnosis becomes easier or introduces trips.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Measured versus true power, rod command/position, flow, temperatures, alarms and event log.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 xml:space="preserve"> </w:t>
      </w:r>
      <w:r>
        <w:rPr>
          <w:rFonts w:ascii="Aptos" w:hAnsi="Aptos"/>
          <w:b w:val="0"/>
          <w:color w:val="17212B"/>
          <w:sz w:val="20"/>
        </w:rPr>
        <w:t>Correct diagnosis, evidence used and rejected alternative explanations.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Which faults create disagreement between measured and true power?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How can thermal response validate or challenge a neutron-power indication?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Why is this exercise conceptual rather than operator qualification?</w:t>
      </w:r>
    </w:p>
    <w:p>
      <w:r>
        <w:br w:type="page"/>
      </w:r>
    </w:p>
    <w:p>
      <w:r>
        <w:rPr>
          <w:rFonts w:ascii="Aptos" w:hAnsi="Aptos"/>
          <w:b/>
          <w:color w:val="2A9D8F"/>
          <w:sz w:val="19"/>
        </w:rPr>
        <w:t>EXPERIMENT 7</w:t>
      </w:r>
    </w:p>
    <w:p>
      <w:pPr>
        <w:pStyle w:val="Heading1"/>
        <w:spacing w:after="160"/>
      </w:pPr>
      <w:r>
        <w:t>Representative LWR kinetics and energy conservation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7324D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shd w:fill="EEF4F8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Compare the dimensioned LWR profile with the classroom-scaled model and test its declared thermal energy balance.</w:t>
            </w:r>
          </w:p>
        </w:tc>
      </w:tr>
      <w:tr>
        <w:tc>
          <w:tcPr>
            <w:tcW w:type="dxa" w:w="2232"/>
            <w:shd w:fill="17324D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shd w:fill="EEF4F8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how a much smaller prompt-generation time changes numerical treatment, and which MW heat flows balance at full power.</w:t>
            </w:r>
          </w:p>
        </w:tc>
      </w:tr>
      <w:tr>
        <w:tc>
          <w:tcPr>
            <w:tcW w:type="dxa" w:w="2232"/>
            <w:shd w:fill="17324D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shd w:fill="EEF4F8"/>
            <w:tcMar>
              <w:top w:w="100" w:type="dxa"/>
              <w:bottom w:w="100" w:type="dxa"/>
              <w:start w:w="135" w:type="dxa"/>
              <w:end w:w="135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Pause; open Instructor: Pedagogical Settings; choose Representative LWR, full-power equilibrium, and restore normal flow/heat sink.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Apply the profile and record rated power, prompt-generation time, integrator and kinetics substeps.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Run at equilibrium and export CSV data for true power, total heat, fuel-to-clad heat, clad-to-coolant heat, heat removed and energy residual.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Reduce the heat sink moderately while holding flow fixed; observe stored-energy and temperature changes.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Reset to Representative LWR equilibrium, initiate SCRAM and observe finite rod insertion plus neutron/decay-heat separation.</w:t>
      </w:r>
    </w:p>
    <w:p>
      <w:pPr>
        <w:pStyle w:val="ListNumber"/>
        <w:spacing w:after="80"/>
      </w:pPr>
      <w:r>
        <w:rPr>
          <w:rFonts w:ascii="Aptos" w:hAnsi="Aptos"/>
          <w:b w:val="0"/>
          <w:color w:val="17212B"/>
          <w:sz w:val="20"/>
        </w:rPr>
        <w:t>Restore validated classroom defaults and repeat one small reactivity step for qualitative comparison.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12B"/>
          <w:sz w:val="20"/>
        </w:rPr>
        <w:t>Kinetics preset, Lambda, integration method/substeps, percent power and MWth.</w:t>
      </w:r>
    </w:p>
    <w:p>
      <w:pPr>
        <w:pStyle w:val="ListBullet"/>
        <w:spacing w:after="80"/>
      </w:pPr>
      <w:r>
        <w:rPr>
          <w:rFonts w:ascii="Aptos" w:hAnsi="Aptos"/>
          <w:b w:val="0"/>
          <w:color w:val="17212B"/>
          <w:sz w:val="20"/>
        </w:rPr>
        <w:t>Fuel/clad/coolant temperatures, three heat-transfer rates and thermal energy residual.</w:t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1. </w:t>
      </w:r>
      <w:r>
        <w:rPr>
          <w:rFonts w:ascii="Aptos" w:hAnsi="Aptos"/>
          <w:b w:val="0"/>
          <w:color w:val="17212B"/>
          <w:sz w:val="20"/>
        </w:rPr>
        <w:t>Why is RK4 substepping required for Lambda = 2e-5 s while the legacy presets retain Euler stepping?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2. </w:t>
      </w:r>
      <w:r>
        <w:rPr>
          <w:rFonts w:ascii="Aptos" w:hAnsi="Aptos"/>
          <w:b w:val="0"/>
          <w:color w:val="17212B"/>
          <w:sz w:val="20"/>
        </w:rPr>
        <w:t>At equilibrium, how do 2910 MW, 2970 MW and 3000 MW transfers reflect the 97/2/1% deposition split?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 xml:space="preserve">3. </w:t>
      </w:r>
      <w:r>
        <w:rPr>
          <w:rFonts w:ascii="Aptos" w:hAnsi="Aptos"/>
          <w:b w:val="0"/>
          <w:color w:val="17212B"/>
          <w:sz w:val="20"/>
        </w:rPr>
        <w:t>Why do dimensional units and a small residual demonstrate consistency but not plant validation?</w:t>
      </w:r>
    </w:p>
    <w:p>
      <w:pPr>
        <w:pStyle w:val="Heading2"/>
      </w:pPr>
      <w:r>
        <w:t>Extension</w:t>
      </w:r>
    </w:p>
    <w:p>
      <w:pPr>
        <w:pStyle w:val="ListBullet"/>
      </w:pPr>
      <w:r>
        <w:rPr>
          <w:rFonts w:ascii="Aptos" w:hAnsi="Aptos"/>
          <w:b w:val="0"/>
          <w:color w:val="17212B"/>
          <w:sz w:val="20"/>
        </w:rPr>
        <w:t>Compare Classroom, Intermediate, Advanced and Representative LWR presets using the same +20 pcm insertion, recording active settings in every CSV export.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66573"/>
        <w:sz w:val="16"/>
      </w:rPr>
      <w:t>Teaching software only • qualitative classroom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566573"/>
        <w:sz w:val="17"/>
      </w:rPr>
      <w:t>Reactor Physics &amp; Kinetics — Student Experiment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C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Reactor Simulator Student Experiments</dc:title>
  <dc:subject>Updated student experiments including Representative LWR kinetics and dimensional energy balance</dc:subject>
  <dc:creator>Open Nuclear Engineering Teaching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