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" w:hAnsi="Aptos"/>
          <w:b/>
          <w:color w:val="2A9D8F"/>
          <w:sz w:val="20"/>
        </w:rPr>
        <w:t>STUDENT EXPERIMENT GUIDE</w:t>
      </w:r>
    </w:p>
    <w:p>
      <w:pPr>
        <w:spacing w:after="200"/>
        <w:jc w:val="center"/>
      </w:pPr>
      <w:r>
        <w:rPr>
          <w:rFonts w:ascii="Aptos" w:hAnsi="Aptos"/>
          <w:b/>
          <w:color w:val="17324D"/>
          <w:sz w:val="56"/>
        </w:rPr>
        <w:t>Thermal-Hydraulics &amp; LOCA</w:t>
      </w:r>
    </w:p>
    <w:p>
      <w:pPr>
        <w:spacing w:after="520"/>
        <w:jc w:val="center"/>
      </w:pPr>
      <w:r>
        <w:rPr>
          <w:rFonts w:ascii="Aptos" w:hAnsi="Aptos"/>
          <w:b w:val="0"/>
          <w:color w:val="566573"/>
          <w:sz w:val="28"/>
        </w:rPr>
        <w:t>Seven guided investigations of heat removal, inventory, pressure and safety response</w:t>
      </w:r>
    </w:p>
    <w:p>
      <w:pPr>
        <w:jc w:val="center"/>
      </w:pPr>
      <w:r>
        <w:rPr>
          <w:rFonts w:ascii="Aptos" w:hAnsi="Aptos"/>
          <w:b/>
          <w:color w:val="E9A23B"/>
          <w:sz w:val="24"/>
        </w:rPr>
        <w:t>Observe • Predict • Test • Explain</w:t>
      </w:r>
    </w:p>
    <w:p>
      <w:pPr>
        <w:spacing w:before="2400"/>
        <w:jc w:val="center"/>
      </w:pPr>
      <w:r>
        <w:rPr>
          <w:rFonts w:ascii="Aptos" w:hAnsi="Aptos"/>
          <w:b w:val="0"/>
          <w:color w:val="566573"/>
          <w:sz w:val="20"/>
        </w:rPr>
        <w:t>Open Nuclear Engineering Teaching Suite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One change at a time: </w:t>
      </w:r>
      <w:r>
        <w:rPr>
          <w:rFonts w:ascii="Aptos" w:hAnsi="Aptos"/>
          <w:b w:val="0"/>
          <w:color w:val="17212B"/>
          <w:sz w:val="20"/>
        </w:rPr>
        <w:t>Reset between trials and vary one main input unless the experiment says otherwise.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Make a prediction: </w:t>
      </w:r>
      <w:r>
        <w:rPr>
          <w:rFonts w:ascii="Aptos" w:hAnsi="Aptos"/>
          <w:b w:val="0"/>
          <w:color w:val="17212B"/>
          <w:sz w:val="20"/>
        </w:rPr>
        <w:t>Write the expected direction and timing of each response before pressing Start.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Use evidence: </w:t>
      </w:r>
      <w:r>
        <w:rPr>
          <w:rFonts w:ascii="Aptos" w:hAnsi="Aptos"/>
          <w:b w:val="0"/>
          <w:color w:val="17212B"/>
          <w:sz w:val="20"/>
        </w:rPr>
        <w:t>Read trends from plots and export CSV data when quantitative comparison is requested.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Repeatability: </w:t>
      </w:r>
      <w:r>
        <w:rPr>
          <w:rFonts w:ascii="Aptos" w:hAnsi="Aptos"/>
          <w:b w:val="0"/>
          <w:color w:val="17212B"/>
          <w:sz w:val="20"/>
        </w:rPr>
        <w:t>Instrument noise means two runs may differ slightly. Repeat when necessary.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 xml:space="preserve">Scope: </w:t>
      </w:r>
      <w:r>
        <w:rPr>
          <w:rFonts w:ascii="Aptos" w:hAnsi="Aptos"/>
          <w:b w:val="0"/>
          <w:color w:val="17212B"/>
          <w:sz w:val="20"/>
        </w:rPr>
        <w:t>Treat values as classroom-scale model outputs, not plant predictions or safety limits.</w:t>
      </w:r>
    </w:p>
    <w:p>
      <w:pPr>
        <w:pStyle w:val="Heading2"/>
      </w:pPr>
      <w:r>
        <w:t>Main controls used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Primary flow, steam-generator heat removal, LOCA break size, boiling regime and CHF ratio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ECCS, auxiliary feedwater, PORV, spray, heaters and RHR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Automatic trip and automatic ECCS options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Normal, SBLOCA, LBLOCA, LOFA, LOHS and SBO presets; scripted recovery demos</w:t>
      </w:r>
    </w:p>
    <w:p>
      <w:pPr>
        <w:pStyle w:val="Heading2"/>
      </w:pPr>
      <w:r>
        <w:t>Suggested assessment evidence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Prediction table with response ordering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CSV plot of pressure, inventory and temperatures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Energy/inventory balance explanation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Comparison of protection response with and without a selected system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1</w:t>
      </w:r>
    </w:p>
    <w:p>
      <w:pPr>
        <w:pStyle w:val="Heading1"/>
        <w:spacing w:after="160"/>
      </w:pPr>
      <w:r>
        <w:t>Primary flow and natural-circulation surrogate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Relate pump flow to heat transfer and core temperatures.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fuel, cladding and coolant responses as pump setting decreases.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Normal scenario; 100% SG heat removal; no break; automatic trip initially off for comparison.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Run at 100% pump until stable.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Reduce pump to 70%, then 40%, allowing a trend at each setting.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effective flow and three temperatures.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Reset; set pump to 0% and observe the residual natural-circulation surrogate.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Repeat with automatic trip on and compare.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Pump setting, effective flow, power, fuel/clad/coolant temperatures and trip status.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Response lag and peak temperature for each trial.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effective flow not fall exactly to zero when pumps stop?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Which thermal node responds fastest?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How does the lumped model simplify real natural circulation and flow distribution?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2</w:t>
      </w:r>
    </w:p>
    <w:p>
      <w:pPr>
        <w:pStyle w:val="Heading1"/>
        <w:spacing w:after="160"/>
      </w:pPr>
      <w:r>
        <w:t>Loss of heat sink and auxiliary feedwater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Test how secondary-side heat removal controls primary temperature and pressure.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the effect of reducing SG heat removal and then adding AFW.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Normal operation; full pump flow; no break; normal inventory.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a steady baseline.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Reduce SG heat removal sharply and observe coolant temperature and pressure.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Add AFW in steps while keeping SG setting fixed.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Find an AFW setting that arrests or reverses the trend.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 and run the Loss of Heat Sink preset for comparison.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SG and AFW settings, heat removal trend, coolant temperature, pressure and clad temperature.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Time of each intervention and resulting slope change.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loss of secondary heat removal affect primary pressure?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How is AFW represented in the model?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Why is a recovered trend not proof of real equipment adequacy?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3</w:t>
      </w:r>
    </w:p>
    <w:p>
      <w:pPr>
        <w:pStyle w:val="Heading1"/>
        <w:spacing w:after="160"/>
      </w:pPr>
      <w:r>
        <w:t>Small-break versus large-break LOCA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Compare how break size changes depressurization, inventory loss and temperature response.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Rank the expected rates of pressure decrease, inventory loss and clad heating.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Use SBLOCA and LBLOCA presets; keep automatic trip and ECCS enabled; use the same simulation speed.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Run SBLOCA and export the full transient.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Reset; run LBLOCA for the same simulated duration and export.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Plot pressure and inventory on matched time axes.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ECCS activation, power, decay heat and clad-temperature response.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Identify where model clamps or scripted settings influence the comparison.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Pressure, inventory, break size, ECCS, clad temperature and trip status.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Initial slopes and selected values at equal times.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a larger break generally depressurize and deplete inventory faster?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Why can lower pressure improve the model’s ECCS effectiveness?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Which real two-phase phenomena are absent from this comparison?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4</w:t>
      </w:r>
    </w:p>
    <w:p>
      <w:pPr>
        <w:pStyle w:val="Heading1"/>
        <w:spacing w:after="160"/>
      </w:pPr>
      <w:r>
        <w:t>ECCS pressure dependence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Investigate the model’s continuous classroom-scale ECCS effectiveness curve.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injection effectiveness above 14 MPa, between 14–8 MPa, between 8–2 MPa and below 2 MPa.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Manual ECCS control; automatic ECCS off; choose a controlled depressurization method such as a modest break or PORV.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Establish a baseline with ECCS at a fixed setting.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Depressurize and note inventory slope near 15, 11, 5 and below 2 MPa.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Keep the ECCS slider unchanged across observations.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injection effectiveness inferred from inventory behavior.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Repeat at a second ECCS command to check the qualitative relationship.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Pressure, ECCS command, inventory and inventory slope at the four pressure regions.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Break/PORV setting and coolant temperature as confounding variables.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the implementation use interpolation rather than step changes?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Why are 14, 8 and 2 MPa teaching reference points rather than plant setpoints?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What additional data would a real pump/injection model require?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5</w:t>
      </w:r>
    </w:p>
    <w:p>
      <w:pPr>
        <w:pStyle w:val="Heading1"/>
        <w:spacing w:after="160"/>
      </w:pPr>
      <w:r>
        <w:t>Shutdown cooling sequence: decay heat, depressurization and RHR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Demonstrate why shutdown heat removal depends on both residual heat and system conditions.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when RHR becomes effective in the model and what happens if cooling is delayed.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Stable normal operation; trip reactor; maintain adequate inventory.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Initiate a trip and observe fission power versus decay heat.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Use SG/AFW to remove heat while pressure remains high.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Depressurize carefully using the model controls.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Apply RHR at high pressure and then below its availability range.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coolant/clad-temperature slopes before and after RHR becomes effective.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Power, decay heat, pressure, inventory, RHR setting and temperatures.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Times of trip, depressurization and effective RHR cooling.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decay heat remain after trip?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Why is RHR deliberately restricted mainly to low pressure?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What parts of a real cooldown procedure are not represented?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6</w:t>
      </w:r>
    </w:p>
    <w:p>
      <w:pPr>
        <w:pStyle w:val="Heading1"/>
        <w:spacing w:after="160"/>
      </w:pPr>
      <w:r>
        <w:t>Station blackout coping and 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Evaluate the qualitative progression from loss of powered systems to restored heat removal.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the first variables to deteriorate and which recovery action is most influential.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Use the Station Blackout preset or scripted SBO recovery demo.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Run the SBO case and mark the loss-of-power event.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Observe pump flow, SG heat removal, decay heat, pressure, inventory and temperatures.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Run once without intervention for a fixed duration.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 and follow a recovery strategy using available AFW/surrogate heat removal and later RHR as conditions permit.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peak temperature and minimum inventory across both trials.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Timeline of system losses and operator/recovery actions.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Peak clad temperature, maximum pressure, minimum inventory and time to stable cooling.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Which stored-energy or decay-heat effects drive the transient?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Which intervention changes the trend first in this model?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Why must the result not be interpreted as an SBO coping-time calculation?</w:t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 xml:space="preserve">Challenge: </w:t>
      </w:r>
      <w:r>
        <w:rPr>
          <w:rFonts w:ascii="Aptos" w:hAnsi="Aptos"/>
          <w:b w:val="0"/>
          <w:color w:val="17212B"/>
          <w:sz w:val="20"/>
        </w:rPr>
        <w:t>Compare the scripted demo with a student-designed recovery and critique which steps are model-driven rather than plant-realistic.</w:t>
      </w:r>
    </w:p>
    <w:p>
      <w:r>
        <w:br w:type="page"/>
      </w:r>
    </w:p>
    <w:p>
      <w:r>
        <w:rPr>
          <w:rFonts w:ascii="Aptos" w:hAnsi="Aptos"/>
          <w:b/>
          <w:color w:val="2A9D8F"/>
          <w:sz w:val="19"/>
        </w:rPr>
        <w:t>EXPERIMENT 7</w:t>
      </w:r>
    </w:p>
    <w:p>
      <w:pPr>
        <w:pStyle w:val="Heading1"/>
        <w:spacing w:after="160"/>
      </w:pPr>
      <w:r>
        <w:t>Boiling regimes, CHF and conserved coolant energy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7324D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shd w:fill="EEF4F8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Relate coolant energy, saturation, void, core coverage and CHF margin during a controlled loss-of-cooling transient.</w:t>
            </w:r>
          </w:p>
        </w:tc>
      </w:tr>
      <w:tr>
        <w:tc>
          <w:tcPr>
            <w:tcW w:type="dxa" w:w="2232"/>
            <w:shd w:fill="17324D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shd w:fill="EEF4F8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the order of single-phase, nucleate-boiling, transition-boiling and film-boiling indications as heat removal degrades.</w:t>
            </w:r>
          </w:p>
        </w:tc>
      </w:tr>
      <w:tr>
        <w:tc>
          <w:tcPr>
            <w:tcW w:type="dxa" w:w="2232"/>
            <w:shd w:fill="17324D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shd w:fill="EEF4F8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Normal scenario; automatic trip initially enabled; use a controlled reduction in primary flow or SG heat removal and log the event timeline.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Record the initial mass, stored energy, pressure, saturation temperature, boiling regime, void and CHF ratio.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Reduce one cooling parameter in steps while keeping other controls fixed; mark every regime or CHF event.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Observe how inventory/core coverage modifies cladding-to-coolant heat transfer.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Reset and repeat with an earlier recovery action such as restored flow, SG/AFW heat removal or ECCS when applicable.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Export both runs and align them by intervention time.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12B"/>
          <w:sz w:val="20"/>
        </w:rPr>
        <w:t>Coolant mass/inventory, stored energy, bulk temperature, pressure and saturation temperature.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12B"/>
          <w:sz w:val="20"/>
        </w:rPr>
        <w:t>Boiling regime, void fraction, CHF ratio, clad temperature, boundary mass/enthalpy flows and timeline events.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can nucleate boiling enhance heat transfer before post-CHF degradation?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How do cold ECCS injection and break/PORV discharge affect both mass and stored energy?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Which missing spatial and two-fluid phenomena prevent use as a DNB/CHF or reflood prediction?</w:t>
      </w:r>
    </w:p>
    <w:p>
      <w:pPr>
        <w:pStyle w:val="Heading2"/>
      </w:pPr>
      <w:r>
        <w:t>Extension</w:t>
      </w:r>
    </w:p>
    <w:p>
      <w:pPr>
        <w:pStyle w:val="ListBullet"/>
      </w:pPr>
      <w:r>
        <w:rPr>
          <w:rFonts w:ascii="Aptos" w:hAnsi="Aptos"/>
          <w:b w:val="0"/>
          <w:color w:val="17212B"/>
          <w:sz w:val="20"/>
        </w:rPr>
        <w:t>Compare the same transient with automatic trip/ECCS enabled and disabled, using event timing rather than peak values alone.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66573"/>
        <w:sz w:val="16"/>
      </w:rPr>
      <w:t>Teaching software only • qualitative classroom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566573"/>
        <w:sz w:val="17"/>
      </w:rPr>
      <w:t>Thermal-Hydraulics &amp; LOCA — Student Experiment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C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Thermal-Hydraulics Simulator Student Experiments</dc:title>
  <dc:subject>Updated experiments including conserved mass/energy, saturation, boiling and CHF</dc:subject>
  <dc:creator>Open Nuclear Engineering Teaching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